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lear" w:pos="426"/>
        </w:tabs>
        <w:rPr>
          <w:highlight w:val="none"/>
        </w:rPr>
      </w:pPr>
    </w:p>
    <w:p>
      <w:pPr>
        <w:tabs>
          <w:tab w:val="clear" w:pos="426"/>
        </w:tabs>
        <w:rPr>
          <w:highlight w:val="none"/>
        </w:rPr>
      </w:pPr>
    </w:p>
    <w:p>
      <w:pPr>
        <w:tabs>
          <w:tab w:val="clear" w:pos="426"/>
        </w:tabs>
        <w:jc w:val="right"/>
        <w:rPr>
          <w:b/>
          <w:highlight w:val="none"/>
          <w:u w:val="single"/>
        </w:rPr>
      </w:pPr>
      <w:r>
        <w:rPr>
          <w:rFonts w:hint="eastAsia"/>
          <w:highlight w:val="none"/>
        </w:rPr>
        <w:t>招标项目编号：</w:t>
      </w:r>
      <w:r>
        <w:rPr>
          <w:rFonts w:hint="eastAsia"/>
          <w:b/>
          <w:highlight w:val="none"/>
          <w:u w:val="single"/>
          <w:lang w:eastAsia="zh-CN"/>
        </w:rPr>
        <w:t>SSZX2019-153</w:t>
      </w:r>
    </w:p>
    <w:p>
      <w:pPr>
        <w:tabs>
          <w:tab w:val="clear" w:pos="426"/>
        </w:tabs>
        <w:rPr>
          <w:highlight w:val="none"/>
        </w:rPr>
      </w:pPr>
    </w:p>
    <w:p>
      <w:pPr>
        <w:tabs>
          <w:tab w:val="clear" w:pos="426"/>
        </w:tabs>
        <w:rPr>
          <w:highlight w:val="none"/>
        </w:rPr>
      </w:pPr>
    </w:p>
    <w:p>
      <w:pPr>
        <w:tabs>
          <w:tab w:val="clear" w:pos="426"/>
        </w:tabs>
        <w:rPr>
          <w:highlight w:val="none"/>
        </w:rPr>
      </w:pPr>
    </w:p>
    <w:p>
      <w:pPr>
        <w:widowControl w:val="0"/>
        <w:shd w:val="clear" w:color="auto" w:fill="auto"/>
        <w:tabs>
          <w:tab w:val="clear" w:pos="426"/>
        </w:tabs>
        <w:adjustRightInd/>
        <w:snapToGrid/>
        <w:spacing w:line="300" w:lineRule="auto"/>
        <w:jc w:val="center"/>
        <w:rPr>
          <w:rFonts w:cs="Times New Roman"/>
          <w:spacing w:val="26"/>
          <w:kern w:val="2"/>
          <w:sz w:val="72"/>
          <w:szCs w:val="20"/>
          <w:highlight w:val="none"/>
        </w:rPr>
      </w:pPr>
      <w:r>
        <w:rPr>
          <w:rFonts w:hint="eastAsia" w:cs="Times New Roman"/>
          <w:spacing w:val="26"/>
          <w:kern w:val="2"/>
          <w:sz w:val="72"/>
          <w:szCs w:val="20"/>
          <w:highlight w:val="none"/>
        </w:rPr>
        <w:t>深圳市政府采购</w:t>
      </w:r>
    </w:p>
    <w:p>
      <w:pPr>
        <w:widowControl w:val="0"/>
        <w:shd w:val="clear" w:color="auto" w:fill="auto"/>
        <w:tabs>
          <w:tab w:val="clear" w:pos="426"/>
        </w:tabs>
        <w:adjustRightInd/>
        <w:snapToGrid/>
        <w:spacing w:line="300" w:lineRule="auto"/>
        <w:jc w:val="center"/>
        <w:rPr>
          <w:rFonts w:cs="Times New Roman"/>
          <w:spacing w:val="26"/>
          <w:kern w:val="2"/>
          <w:sz w:val="72"/>
          <w:szCs w:val="20"/>
          <w:highlight w:val="none"/>
        </w:rPr>
      </w:pPr>
      <w:r>
        <w:rPr>
          <w:rFonts w:hint="eastAsia" w:cs="Times New Roman"/>
          <w:spacing w:val="26"/>
          <w:kern w:val="2"/>
          <w:sz w:val="72"/>
          <w:szCs w:val="20"/>
          <w:highlight w:val="none"/>
        </w:rPr>
        <w:t>招标文件</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jc w:val="center"/>
        <w:rPr>
          <w:rFonts w:ascii="黑体" w:hAnsi="Arial" w:eastAsia="黑体" w:cs="Arial"/>
          <w:color w:val="000000"/>
          <w:sz w:val="52"/>
          <w:szCs w:val="52"/>
          <w:highlight w:val="none"/>
        </w:rPr>
      </w:pPr>
      <w:r>
        <w:rPr>
          <w:rFonts w:hint="eastAsia" w:ascii="黑体" w:hAnsi="Arial" w:eastAsia="黑体" w:cs="Arial"/>
          <w:color w:val="000000"/>
          <w:sz w:val="52"/>
          <w:szCs w:val="52"/>
          <w:highlight w:val="none"/>
        </w:rPr>
        <w:t>【货物类】</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rPr>
      </w:pPr>
      <w:r>
        <w:rPr>
          <w:rFonts w:hint="eastAsia" w:cs="Times New Roman"/>
          <w:kern w:val="2"/>
          <w:sz w:val="30"/>
          <w:szCs w:val="20"/>
          <w:highlight w:val="none"/>
        </w:rPr>
        <w:t>项目名称：</w:t>
      </w:r>
      <w:r>
        <w:rPr>
          <w:rFonts w:hint="eastAsia" w:cs="Times New Roman"/>
          <w:kern w:val="2"/>
          <w:sz w:val="30"/>
          <w:szCs w:val="20"/>
          <w:highlight w:val="none"/>
          <w:u w:val="single"/>
        </w:rPr>
        <w:t>南头中学校史馆设备及软件开发</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rPr>
      </w:pPr>
      <w:r>
        <w:rPr>
          <w:rFonts w:hint="eastAsia" w:cs="Times New Roman"/>
          <w:kern w:val="2"/>
          <w:sz w:val="30"/>
          <w:szCs w:val="20"/>
          <w:highlight w:val="none"/>
        </w:rPr>
        <w:t>采购人名称：</w:t>
      </w:r>
      <w:r>
        <w:rPr>
          <w:rFonts w:hint="eastAsia" w:cs="Times New Roman"/>
          <w:kern w:val="2"/>
          <w:sz w:val="30"/>
          <w:szCs w:val="20"/>
          <w:highlight w:val="none"/>
          <w:u w:val="single"/>
        </w:rPr>
        <w:t>深圳市南头中学</w:t>
      </w:r>
    </w:p>
    <w:p>
      <w:pPr>
        <w:widowControl w:val="0"/>
        <w:shd w:val="clear" w:color="auto" w:fill="auto"/>
        <w:tabs>
          <w:tab w:val="clear" w:pos="426"/>
        </w:tabs>
        <w:adjustRightInd/>
        <w:snapToGrid/>
        <w:spacing w:line="300" w:lineRule="auto"/>
        <w:ind w:left="1500" w:hanging="1500" w:hangingChars="500"/>
        <w:rPr>
          <w:rFonts w:cs="Times New Roman"/>
          <w:kern w:val="2"/>
          <w:sz w:val="30"/>
          <w:szCs w:val="20"/>
          <w:highlight w:val="non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r>
        <w:rPr>
          <w:rFonts w:hint="eastAsia" w:cs="Times New Roman"/>
          <w:kern w:val="2"/>
          <w:sz w:val="30"/>
          <w:szCs w:val="20"/>
          <w:highlight w:val="none"/>
        </w:rPr>
        <w:t>采购代理机构名称：</w:t>
      </w:r>
      <w:r>
        <w:rPr>
          <w:rFonts w:hint="eastAsia" w:cs="Times New Roman"/>
          <w:kern w:val="2"/>
          <w:sz w:val="30"/>
          <w:szCs w:val="20"/>
          <w:highlight w:val="none"/>
          <w:u w:val="single"/>
        </w:rPr>
        <w:t>深圳市深水水务咨询有限公司</w:t>
      </w: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p>
    <w:p>
      <w:pPr>
        <w:widowControl w:val="0"/>
        <w:shd w:val="clear" w:color="auto" w:fill="auto"/>
        <w:tabs>
          <w:tab w:val="clear" w:pos="426"/>
        </w:tabs>
        <w:adjustRightInd/>
        <w:snapToGrid/>
        <w:spacing w:line="300" w:lineRule="auto"/>
        <w:ind w:left="1498" w:leftChars="142" w:hanging="1200" w:hangingChars="400"/>
        <w:rPr>
          <w:rFonts w:cs="Times New Roman"/>
          <w:kern w:val="2"/>
          <w:sz w:val="30"/>
          <w:szCs w:val="20"/>
          <w:highlight w:val="none"/>
          <w:u w:val="single"/>
        </w:rPr>
      </w:pPr>
    </w:p>
    <w:p>
      <w:pPr>
        <w:tabs>
          <w:tab w:val="clear" w:pos="426"/>
        </w:tabs>
        <w:jc w:val="center"/>
        <w:rPr>
          <w:b/>
          <w:sz w:val="32"/>
          <w:szCs w:val="32"/>
          <w:highlight w:val="none"/>
        </w:rPr>
      </w:pPr>
      <w:r>
        <w:rPr>
          <w:highlight w:val="none"/>
        </w:rPr>
        <w:br w:type="page"/>
      </w:r>
      <w:r>
        <w:rPr>
          <w:rFonts w:hint="eastAsia"/>
          <w:b/>
          <w:sz w:val="32"/>
          <w:szCs w:val="32"/>
          <w:highlight w:val="none"/>
        </w:rPr>
        <w:t>目录</w:t>
      </w:r>
    </w:p>
    <w:p>
      <w:pPr>
        <w:tabs>
          <w:tab w:val="clear" w:pos="426"/>
        </w:tabs>
        <w:jc w:val="center"/>
        <w:rPr>
          <w:sz w:val="32"/>
          <w:szCs w:val="32"/>
          <w:highlight w:val="none"/>
        </w:rPr>
      </w:pPr>
    </w:p>
    <w:p>
      <w:pPr>
        <w:pStyle w:val="36"/>
        <w:tabs>
          <w:tab w:val="right" w:leader="dot" w:pos="8788"/>
          <w:tab w:val="clear" w:pos="8789"/>
        </w:tabs>
        <w:rPr>
          <w:highlight w:val="none"/>
        </w:rPr>
      </w:pPr>
      <w:r>
        <w:rPr>
          <w:smallCaps w:val="0"/>
          <w:highlight w:val="none"/>
        </w:rPr>
        <w:fldChar w:fldCharType="begin"/>
      </w:r>
      <w:r>
        <w:rPr>
          <w:smallCaps w:val="0"/>
          <w:highlight w:val="none"/>
        </w:rPr>
        <w:instrText xml:space="preserve"> TOC \o "1-2" \h \z \u </w:instrText>
      </w:r>
      <w:r>
        <w:rPr>
          <w:smallCaps w:val="0"/>
          <w:highlight w:val="none"/>
        </w:rPr>
        <w:fldChar w:fldCharType="separate"/>
      </w:r>
      <w:r>
        <w:rPr>
          <w:smallCaps/>
          <w:highlight w:val="none"/>
        </w:rPr>
        <w:fldChar w:fldCharType="begin"/>
      </w:r>
      <w:r>
        <w:rPr>
          <w:smallCaps/>
          <w:highlight w:val="none"/>
        </w:rPr>
        <w:instrText xml:space="preserve"> HYPERLINK \l _Toc16791 </w:instrText>
      </w:r>
      <w:r>
        <w:rPr>
          <w:smallCaps/>
          <w:highlight w:val="none"/>
        </w:rPr>
        <w:fldChar w:fldCharType="separate"/>
      </w:r>
      <w:r>
        <w:rPr>
          <w:rFonts w:hint="eastAsia"/>
          <w:szCs w:val="30"/>
          <w:highlight w:val="none"/>
        </w:rPr>
        <w:t>警示条款</w:t>
      </w:r>
      <w:r>
        <w:rPr>
          <w:highlight w:val="none"/>
        </w:rPr>
        <w:tab/>
      </w:r>
      <w:r>
        <w:rPr>
          <w:highlight w:val="none"/>
        </w:rPr>
        <w:fldChar w:fldCharType="begin"/>
      </w:r>
      <w:r>
        <w:rPr>
          <w:highlight w:val="none"/>
        </w:rPr>
        <w:instrText xml:space="preserve"> PAGEREF _Toc16791 </w:instrText>
      </w:r>
      <w:r>
        <w:rPr>
          <w:highlight w:val="none"/>
        </w:rPr>
        <w:fldChar w:fldCharType="separate"/>
      </w:r>
      <w:r>
        <w:rPr>
          <w:highlight w:val="none"/>
        </w:rPr>
        <w:t>1</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_Toc21186 </w:instrText>
      </w:r>
      <w:r>
        <w:rPr>
          <w:smallCaps/>
          <w:highlight w:val="none"/>
        </w:rPr>
        <w:fldChar w:fldCharType="separate"/>
      </w:r>
      <w:r>
        <w:rPr>
          <w:rFonts w:hint="eastAsia"/>
          <w:highlight w:val="none"/>
        </w:rPr>
        <w:t>项目关键信息</w:t>
      </w:r>
      <w:r>
        <w:rPr>
          <w:highlight w:val="none"/>
        </w:rPr>
        <w:tab/>
      </w:r>
      <w:r>
        <w:rPr>
          <w:highlight w:val="none"/>
        </w:rPr>
        <w:fldChar w:fldCharType="begin"/>
      </w:r>
      <w:r>
        <w:rPr>
          <w:highlight w:val="none"/>
        </w:rPr>
        <w:instrText xml:space="preserve"> PAGEREF _Toc21186 </w:instrText>
      </w:r>
      <w:r>
        <w:rPr>
          <w:highlight w:val="none"/>
        </w:rPr>
        <w:fldChar w:fldCharType="separate"/>
      </w:r>
      <w:r>
        <w:rPr>
          <w:highlight w:val="none"/>
        </w:rPr>
        <w:t>2</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_Toc3249 </w:instrText>
      </w:r>
      <w:r>
        <w:rPr>
          <w:smallCaps/>
          <w:highlight w:val="none"/>
        </w:rPr>
        <w:fldChar w:fldCharType="separate"/>
      </w:r>
      <w:r>
        <w:rPr>
          <w:rFonts w:hint="eastAsia"/>
          <w:highlight w:val="none"/>
        </w:rPr>
        <w:t>资格性审查表、符合性审查表</w:t>
      </w:r>
      <w:r>
        <w:rPr>
          <w:highlight w:val="none"/>
        </w:rPr>
        <w:tab/>
      </w:r>
      <w:r>
        <w:rPr>
          <w:highlight w:val="none"/>
        </w:rPr>
        <w:fldChar w:fldCharType="begin"/>
      </w:r>
      <w:r>
        <w:rPr>
          <w:highlight w:val="none"/>
        </w:rPr>
        <w:instrText xml:space="preserve"> PAGEREF _Toc3249 </w:instrText>
      </w:r>
      <w:r>
        <w:rPr>
          <w:highlight w:val="none"/>
        </w:rPr>
        <w:fldChar w:fldCharType="separate"/>
      </w:r>
      <w:r>
        <w:rPr>
          <w:highlight w:val="none"/>
        </w:rPr>
        <w:t>3</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_Toc20163 </w:instrText>
      </w:r>
      <w:r>
        <w:rPr>
          <w:smallCaps/>
          <w:highlight w:val="none"/>
        </w:rPr>
        <w:fldChar w:fldCharType="separate"/>
      </w:r>
      <w:r>
        <w:rPr>
          <w:highlight w:val="none"/>
        </w:rPr>
        <w:t>评标信息</w:t>
      </w:r>
      <w:r>
        <w:rPr>
          <w:highlight w:val="none"/>
        </w:rPr>
        <w:tab/>
      </w:r>
      <w:r>
        <w:rPr>
          <w:highlight w:val="none"/>
        </w:rPr>
        <w:fldChar w:fldCharType="begin"/>
      </w:r>
      <w:r>
        <w:rPr>
          <w:highlight w:val="none"/>
        </w:rPr>
        <w:instrText xml:space="preserve"> PAGEREF _Toc20163 </w:instrText>
      </w:r>
      <w:r>
        <w:rPr>
          <w:highlight w:val="none"/>
        </w:rPr>
        <w:fldChar w:fldCharType="separate"/>
      </w:r>
      <w:r>
        <w:rPr>
          <w:highlight w:val="none"/>
        </w:rPr>
        <w:t>4</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_Toc20574 </w:instrText>
      </w:r>
      <w:r>
        <w:rPr>
          <w:smallCaps/>
          <w:highlight w:val="none"/>
        </w:rPr>
        <w:fldChar w:fldCharType="separate"/>
      </w:r>
      <w:r>
        <w:rPr>
          <w:rFonts w:hint="eastAsia" w:ascii="宋体" w:hAnsi="宋体"/>
          <w:bCs w:val="0"/>
          <w:szCs w:val="24"/>
          <w:highlight w:val="none"/>
        </w:rPr>
        <w:t>评分细则表</w:t>
      </w:r>
      <w:r>
        <w:rPr>
          <w:highlight w:val="none"/>
        </w:rPr>
        <w:tab/>
      </w:r>
      <w:r>
        <w:rPr>
          <w:highlight w:val="none"/>
        </w:rPr>
        <w:fldChar w:fldCharType="begin"/>
      </w:r>
      <w:r>
        <w:rPr>
          <w:highlight w:val="none"/>
        </w:rPr>
        <w:instrText xml:space="preserve"> PAGEREF _Toc20574 </w:instrText>
      </w:r>
      <w:r>
        <w:rPr>
          <w:highlight w:val="none"/>
        </w:rPr>
        <w:fldChar w:fldCharType="separate"/>
      </w:r>
      <w:r>
        <w:rPr>
          <w:highlight w:val="none"/>
        </w:rPr>
        <w:t>6</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_Toc471 </w:instrText>
      </w:r>
      <w:r>
        <w:rPr>
          <w:smallCaps/>
          <w:highlight w:val="none"/>
        </w:rPr>
        <w:fldChar w:fldCharType="separate"/>
      </w:r>
      <w:r>
        <w:rPr>
          <w:rFonts w:hint="eastAsia"/>
          <w:highlight w:val="none"/>
        </w:rPr>
        <w:t>定</w:t>
      </w:r>
      <w:r>
        <w:rPr>
          <w:highlight w:val="none"/>
        </w:rPr>
        <w:t>标信息</w:t>
      </w:r>
      <w:r>
        <w:rPr>
          <w:highlight w:val="none"/>
        </w:rPr>
        <w:tab/>
      </w:r>
      <w:r>
        <w:rPr>
          <w:highlight w:val="none"/>
        </w:rPr>
        <w:fldChar w:fldCharType="begin"/>
      </w:r>
      <w:r>
        <w:rPr>
          <w:highlight w:val="none"/>
        </w:rPr>
        <w:instrText xml:space="preserve"> PAGEREF _Toc471 </w:instrText>
      </w:r>
      <w:r>
        <w:rPr>
          <w:highlight w:val="none"/>
        </w:rPr>
        <w:fldChar w:fldCharType="separate"/>
      </w:r>
      <w:r>
        <w:rPr>
          <w:highlight w:val="none"/>
        </w:rPr>
        <w:t>10</w:t>
      </w:r>
      <w:r>
        <w:rPr>
          <w:highlight w:val="none"/>
        </w:rPr>
        <w:fldChar w:fldCharType="end"/>
      </w:r>
      <w:r>
        <w:rPr>
          <w:smallCaps/>
          <w:highlight w:val="none"/>
        </w:rPr>
        <w:fldChar w:fldCharType="end"/>
      </w:r>
    </w:p>
    <w:p>
      <w:pPr>
        <w:pStyle w:val="31"/>
        <w:tabs>
          <w:tab w:val="right" w:leader="dot" w:pos="8788"/>
          <w:tab w:val="clear" w:pos="426"/>
          <w:tab w:val="clear" w:pos="8789"/>
        </w:tabs>
        <w:rPr>
          <w:highlight w:val="none"/>
        </w:rPr>
      </w:pPr>
      <w:r>
        <w:rPr>
          <w:smallCaps/>
          <w:highlight w:val="none"/>
        </w:rPr>
        <w:fldChar w:fldCharType="begin"/>
      </w:r>
      <w:r>
        <w:rPr>
          <w:smallCaps/>
          <w:highlight w:val="none"/>
        </w:rPr>
        <w:instrText xml:space="preserve"> HYPERLINK \l _Toc18426 </w:instrText>
      </w:r>
      <w:r>
        <w:rPr>
          <w:smallCaps/>
          <w:highlight w:val="none"/>
        </w:rPr>
        <w:fldChar w:fldCharType="separate"/>
      </w:r>
      <w:r>
        <w:rPr>
          <w:rFonts w:hint="eastAsia"/>
          <w:highlight w:val="none"/>
        </w:rPr>
        <w:t>第一册专用条款</w:t>
      </w:r>
      <w:r>
        <w:rPr>
          <w:highlight w:val="none"/>
        </w:rPr>
        <w:tab/>
      </w:r>
      <w:r>
        <w:rPr>
          <w:highlight w:val="none"/>
        </w:rPr>
        <w:fldChar w:fldCharType="begin"/>
      </w:r>
      <w:r>
        <w:rPr>
          <w:highlight w:val="none"/>
        </w:rPr>
        <w:instrText xml:space="preserve"> PAGEREF _Toc18426 </w:instrText>
      </w:r>
      <w:r>
        <w:rPr>
          <w:highlight w:val="none"/>
        </w:rPr>
        <w:fldChar w:fldCharType="separate"/>
      </w:r>
      <w:r>
        <w:rPr>
          <w:highlight w:val="none"/>
        </w:rPr>
        <w:t>13</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_Toc22778 </w:instrText>
      </w:r>
      <w:r>
        <w:rPr>
          <w:smallCaps/>
          <w:highlight w:val="none"/>
        </w:rPr>
        <w:fldChar w:fldCharType="separate"/>
      </w:r>
      <w:r>
        <w:rPr>
          <w:rFonts w:hint="eastAsia"/>
          <w:highlight w:val="none"/>
        </w:rPr>
        <w:t>第一章采购公告</w:t>
      </w:r>
      <w:r>
        <w:rPr>
          <w:highlight w:val="none"/>
        </w:rPr>
        <w:tab/>
      </w:r>
      <w:r>
        <w:rPr>
          <w:highlight w:val="none"/>
        </w:rPr>
        <w:fldChar w:fldCharType="begin"/>
      </w:r>
      <w:r>
        <w:rPr>
          <w:highlight w:val="none"/>
        </w:rPr>
        <w:instrText xml:space="preserve"> PAGEREF _Toc22778 </w:instrText>
      </w:r>
      <w:r>
        <w:rPr>
          <w:highlight w:val="none"/>
        </w:rPr>
        <w:fldChar w:fldCharType="separate"/>
      </w:r>
      <w:r>
        <w:rPr>
          <w:highlight w:val="none"/>
        </w:rPr>
        <w:t>13</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_Toc31858 </w:instrText>
      </w:r>
      <w:r>
        <w:rPr>
          <w:smallCaps/>
          <w:highlight w:val="none"/>
        </w:rPr>
        <w:fldChar w:fldCharType="separate"/>
      </w:r>
      <w:r>
        <w:rPr>
          <w:rFonts w:hint="eastAsia"/>
          <w:highlight w:val="none"/>
        </w:rPr>
        <w:t>第二章投标须知前附表</w:t>
      </w:r>
      <w:r>
        <w:rPr>
          <w:highlight w:val="none"/>
        </w:rPr>
        <w:tab/>
      </w:r>
      <w:r>
        <w:rPr>
          <w:highlight w:val="none"/>
        </w:rPr>
        <w:fldChar w:fldCharType="begin"/>
      </w:r>
      <w:r>
        <w:rPr>
          <w:highlight w:val="none"/>
        </w:rPr>
        <w:instrText xml:space="preserve"> PAGEREF _Toc31858 </w:instrText>
      </w:r>
      <w:r>
        <w:rPr>
          <w:highlight w:val="none"/>
        </w:rPr>
        <w:fldChar w:fldCharType="separate"/>
      </w:r>
      <w:r>
        <w:rPr>
          <w:highlight w:val="none"/>
        </w:rPr>
        <w:t>16</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_Toc19604 </w:instrText>
      </w:r>
      <w:r>
        <w:rPr>
          <w:smallCaps/>
          <w:highlight w:val="none"/>
        </w:rPr>
        <w:fldChar w:fldCharType="separate"/>
      </w:r>
      <w:r>
        <w:rPr>
          <w:rFonts w:hint="eastAsia"/>
          <w:highlight w:val="none"/>
        </w:rPr>
        <w:t>第三章</w:t>
      </w:r>
      <w:r>
        <w:rPr>
          <w:highlight w:val="none"/>
        </w:rPr>
        <w:t>项目</w:t>
      </w:r>
      <w:r>
        <w:rPr>
          <w:rFonts w:hint="eastAsia"/>
          <w:highlight w:val="none"/>
        </w:rPr>
        <w:t>需求</w:t>
      </w:r>
      <w:r>
        <w:rPr>
          <w:highlight w:val="none"/>
        </w:rPr>
        <w:tab/>
      </w:r>
      <w:r>
        <w:rPr>
          <w:highlight w:val="none"/>
        </w:rPr>
        <w:fldChar w:fldCharType="begin"/>
      </w:r>
      <w:r>
        <w:rPr>
          <w:highlight w:val="none"/>
        </w:rPr>
        <w:instrText xml:space="preserve"> PAGEREF _Toc19604 </w:instrText>
      </w:r>
      <w:r>
        <w:rPr>
          <w:highlight w:val="none"/>
        </w:rPr>
        <w:fldChar w:fldCharType="separate"/>
      </w:r>
      <w:r>
        <w:rPr>
          <w:highlight w:val="none"/>
        </w:rPr>
        <w:t>17</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_Toc12988 </w:instrText>
      </w:r>
      <w:r>
        <w:rPr>
          <w:smallCaps/>
          <w:highlight w:val="none"/>
        </w:rPr>
        <w:fldChar w:fldCharType="separate"/>
      </w:r>
      <w:r>
        <w:rPr>
          <w:rFonts w:hint="eastAsia"/>
          <w:highlight w:val="none"/>
        </w:rPr>
        <w:t>第四章政府采购合同的签订、履约及验收</w:t>
      </w:r>
      <w:r>
        <w:rPr>
          <w:highlight w:val="none"/>
        </w:rPr>
        <w:tab/>
      </w:r>
      <w:r>
        <w:rPr>
          <w:highlight w:val="none"/>
        </w:rPr>
        <w:fldChar w:fldCharType="begin"/>
      </w:r>
      <w:r>
        <w:rPr>
          <w:highlight w:val="none"/>
        </w:rPr>
        <w:instrText xml:space="preserve"> PAGEREF _Toc12988 </w:instrText>
      </w:r>
      <w:r>
        <w:rPr>
          <w:highlight w:val="none"/>
        </w:rPr>
        <w:fldChar w:fldCharType="separate"/>
      </w:r>
      <w:r>
        <w:rPr>
          <w:highlight w:val="none"/>
        </w:rPr>
        <w:t>36</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_Toc32359 </w:instrText>
      </w:r>
      <w:r>
        <w:rPr>
          <w:smallCaps/>
          <w:highlight w:val="none"/>
        </w:rPr>
        <w:fldChar w:fldCharType="separate"/>
      </w:r>
      <w:r>
        <w:rPr>
          <w:rFonts w:hint="eastAsia"/>
          <w:highlight w:val="none"/>
        </w:rPr>
        <w:t>第五章投标文件格式、附件</w:t>
      </w:r>
      <w:r>
        <w:rPr>
          <w:highlight w:val="none"/>
        </w:rPr>
        <w:tab/>
      </w:r>
      <w:r>
        <w:rPr>
          <w:highlight w:val="none"/>
        </w:rPr>
        <w:fldChar w:fldCharType="begin"/>
      </w:r>
      <w:r>
        <w:rPr>
          <w:highlight w:val="none"/>
        </w:rPr>
        <w:instrText xml:space="preserve"> PAGEREF _Toc32359 </w:instrText>
      </w:r>
      <w:r>
        <w:rPr>
          <w:highlight w:val="none"/>
        </w:rPr>
        <w:fldChar w:fldCharType="separate"/>
      </w:r>
      <w:r>
        <w:rPr>
          <w:highlight w:val="none"/>
        </w:rPr>
        <w:t>41</w:t>
      </w:r>
      <w:r>
        <w:rPr>
          <w:highlight w:val="none"/>
        </w:rPr>
        <w:fldChar w:fldCharType="end"/>
      </w:r>
      <w:r>
        <w:rPr>
          <w:smallCaps/>
          <w:highlight w:val="none"/>
        </w:rPr>
        <w:fldChar w:fldCharType="end"/>
      </w:r>
    </w:p>
    <w:p>
      <w:pPr>
        <w:pStyle w:val="31"/>
        <w:tabs>
          <w:tab w:val="right" w:leader="dot" w:pos="8788"/>
          <w:tab w:val="clear" w:pos="426"/>
          <w:tab w:val="clear" w:pos="8789"/>
        </w:tabs>
        <w:rPr>
          <w:highlight w:val="none"/>
        </w:rPr>
      </w:pPr>
      <w:r>
        <w:rPr>
          <w:smallCaps/>
          <w:highlight w:val="none"/>
        </w:rPr>
        <w:fldChar w:fldCharType="begin"/>
      </w:r>
      <w:r>
        <w:rPr>
          <w:smallCaps/>
          <w:highlight w:val="none"/>
        </w:rPr>
        <w:instrText xml:space="preserve"> HYPERLINK \l _Toc27482 </w:instrText>
      </w:r>
      <w:r>
        <w:rPr>
          <w:smallCaps/>
          <w:highlight w:val="none"/>
        </w:rPr>
        <w:fldChar w:fldCharType="separate"/>
      </w:r>
      <w:r>
        <w:rPr>
          <w:rFonts w:hint="eastAsia"/>
          <w:highlight w:val="none"/>
        </w:rPr>
        <w:t>第二册通用条款</w:t>
      </w:r>
      <w:r>
        <w:rPr>
          <w:highlight w:val="none"/>
        </w:rPr>
        <w:tab/>
      </w:r>
      <w:r>
        <w:rPr>
          <w:highlight w:val="none"/>
        </w:rPr>
        <w:fldChar w:fldCharType="begin"/>
      </w:r>
      <w:r>
        <w:rPr>
          <w:highlight w:val="none"/>
        </w:rPr>
        <w:instrText xml:space="preserve"> PAGEREF _Toc27482 </w:instrText>
      </w:r>
      <w:r>
        <w:rPr>
          <w:highlight w:val="none"/>
        </w:rPr>
        <w:fldChar w:fldCharType="separate"/>
      </w:r>
      <w:r>
        <w:rPr>
          <w:highlight w:val="none"/>
        </w:rPr>
        <w:t>62</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_Toc23487 </w:instrText>
      </w:r>
      <w:r>
        <w:rPr>
          <w:smallCaps/>
          <w:highlight w:val="none"/>
        </w:rPr>
        <w:fldChar w:fldCharType="separate"/>
      </w:r>
      <w:r>
        <w:rPr>
          <w:rFonts w:hint="eastAsia"/>
          <w:highlight w:val="none"/>
        </w:rPr>
        <w:t>第一章 总则</w:t>
      </w:r>
      <w:r>
        <w:rPr>
          <w:highlight w:val="none"/>
        </w:rPr>
        <w:tab/>
      </w:r>
      <w:r>
        <w:rPr>
          <w:highlight w:val="none"/>
        </w:rPr>
        <w:fldChar w:fldCharType="begin"/>
      </w:r>
      <w:r>
        <w:rPr>
          <w:highlight w:val="none"/>
        </w:rPr>
        <w:instrText xml:space="preserve"> PAGEREF _Toc23487 </w:instrText>
      </w:r>
      <w:r>
        <w:rPr>
          <w:highlight w:val="none"/>
        </w:rPr>
        <w:fldChar w:fldCharType="separate"/>
      </w:r>
      <w:r>
        <w:rPr>
          <w:highlight w:val="none"/>
        </w:rPr>
        <w:t>62</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_Toc17734 </w:instrText>
      </w:r>
      <w:r>
        <w:rPr>
          <w:smallCaps/>
          <w:highlight w:val="none"/>
        </w:rPr>
        <w:fldChar w:fldCharType="separate"/>
      </w:r>
      <w:r>
        <w:rPr>
          <w:rFonts w:hint="eastAsia"/>
          <w:highlight w:val="none"/>
        </w:rPr>
        <w:t>第二章 招标文件</w:t>
      </w:r>
      <w:r>
        <w:rPr>
          <w:highlight w:val="none"/>
        </w:rPr>
        <w:tab/>
      </w:r>
      <w:r>
        <w:rPr>
          <w:highlight w:val="none"/>
        </w:rPr>
        <w:fldChar w:fldCharType="begin"/>
      </w:r>
      <w:r>
        <w:rPr>
          <w:highlight w:val="none"/>
        </w:rPr>
        <w:instrText xml:space="preserve"> PAGEREF _Toc17734 </w:instrText>
      </w:r>
      <w:r>
        <w:rPr>
          <w:highlight w:val="none"/>
        </w:rPr>
        <w:fldChar w:fldCharType="separate"/>
      </w:r>
      <w:r>
        <w:rPr>
          <w:highlight w:val="none"/>
        </w:rPr>
        <w:t>64</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_Toc30521 </w:instrText>
      </w:r>
      <w:r>
        <w:rPr>
          <w:smallCaps/>
          <w:highlight w:val="none"/>
        </w:rPr>
        <w:fldChar w:fldCharType="separate"/>
      </w:r>
      <w:r>
        <w:rPr>
          <w:rFonts w:hint="eastAsia"/>
          <w:highlight w:val="none"/>
        </w:rPr>
        <w:t>第三章 投标文件的编制与递交</w:t>
      </w:r>
      <w:r>
        <w:rPr>
          <w:highlight w:val="none"/>
        </w:rPr>
        <w:tab/>
      </w:r>
      <w:r>
        <w:rPr>
          <w:highlight w:val="none"/>
        </w:rPr>
        <w:fldChar w:fldCharType="begin"/>
      </w:r>
      <w:r>
        <w:rPr>
          <w:highlight w:val="none"/>
        </w:rPr>
        <w:instrText xml:space="preserve"> PAGEREF _Toc30521 </w:instrText>
      </w:r>
      <w:r>
        <w:rPr>
          <w:highlight w:val="none"/>
        </w:rPr>
        <w:fldChar w:fldCharType="separate"/>
      </w:r>
      <w:r>
        <w:rPr>
          <w:highlight w:val="none"/>
        </w:rPr>
        <w:t>66</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_Toc31160 </w:instrText>
      </w:r>
      <w:r>
        <w:rPr>
          <w:smallCaps/>
          <w:highlight w:val="none"/>
        </w:rPr>
        <w:fldChar w:fldCharType="separate"/>
      </w:r>
      <w:r>
        <w:rPr>
          <w:rFonts w:hint="eastAsia"/>
          <w:highlight w:val="none"/>
        </w:rPr>
        <w:t>第四章 开标</w:t>
      </w:r>
      <w:r>
        <w:rPr>
          <w:highlight w:val="none"/>
        </w:rPr>
        <w:tab/>
      </w:r>
      <w:r>
        <w:rPr>
          <w:highlight w:val="none"/>
        </w:rPr>
        <w:fldChar w:fldCharType="begin"/>
      </w:r>
      <w:r>
        <w:rPr>
          <w:highlight w:val="none"/>
        </w:rPr>
        <w:instrText xml:space="preserve"> PAGEREF _Toc31160 </w:instrText>
      </w:r>
      <w:r>
        <w:rPr>
          <w:highlight w:val="none"/>
        </w:rPr>
        <w:fldChar w:fldCharType="separate"/>
      </w:r>
      <w:r>
        <w:rPr>
          <w:highlight w:val="none"/>
        </w:rPr>
        <w:t>70</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_Toc15717 </w:instrText>
      </w:r>
      <w:r>
        <w:rPr>
          <w:smallCaps/>
          <w:highlight w:val="none"/>
        </w:rPr>
        <w:fldChar w:fldCharType="separate"/>
      </w:r>
      <w:r>
        <w:rPr>
          <w:rFonts w:hint="eastAsia"/>
          <w:highlight w:val="none"/>
        </w:rPr>
        <w:t>第五章 评标要求</w:t>
      </w:r>
      <w:r>
        <w:rPr>
          <w:highlight w:val="none"/>
        </w:rPr>
        <w:tab/>
      </w:r>
      <w:r>
        <w:rPr>
          <w:highlight w:val="none"/>
        </w:rPr>
        <w:fldChar w:fldCharType="begin"/>
      </w:r>
      <w:r>
        <w:rPr>
          <w:highlight w:val="none"/>
        </w:rPr>
        <w:instrText xml:space="preserve"> PAGEREF _Toc15717 </w:instrText>
      </w:r>
      <w:r>
        <w:rPr>
          <w:highlight w:val="none"/>
        </w:rPr>
        <w:fldChar w:fldCharType="separate"/>
      </w:r>
      <w:r>
        <w:rPr>
          <w:highlight w:val="none"/>
        </w:rPr>
        <w:t>71</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_Toc5201 </w:instrText>
      </w:r>
      <w:r>
        <w:rPr>
          <w:smallCaps/>
          <w:highlight w:val="none"/>
        </w:rPr>
        <w:fldChar w:fldCharType="separate"/>
      </w:r>
      <w:r>
        <w:rPr>
          <w:rFonts w:hint="eastAsia"/>
          <w:highlight w:val="none"/>
        </w:rPr>
        <w:t>第六章 评标程序及评标方法</w:t>
      </w:r>
      <w:r>
        <w:rPr>
          <w:highlight w:val="none"/>
        </w:rPr>
        <w:tab/>
      </w:r>
      <w:r>
        <w:rPr>
          <w:highlight w:val="none"/>
        </w:rPr>
        <w:fldChar w:fldCharType="begin"/>
      </w:r>
      <w:r>
        <w:rPr>
          <w:highlight w:val="none"/>
        </w:rPr>
        <w:instrText xml:space="preserve"> PAGEREF _Toc5201 </w:instrText>
      </w:r>
      <w:r>
        <w:rPr>
          <w:highlight w:val="none"/>
        </w:rPr>
        <w:fldChar w:fldCharType="separate"/>
      </w:r>
      <w:r>
        <w:rPr>
          <w:highlight w:val="none"/>
        </w:rPr>
        <w:t>71</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_Toc24424 </w:instrText>
      </w:r>
      <w:r>
        <w:rPr>
          <w:smallCaps/>
          <w:highlight w:val="none"/>
        </w:rPr>
        <w:fldChar w:fldCharType="separate"/>
      </w:r>
      <w:r>
        <w:rPr>
          <w:rFonts w:hint="eastAsia"/>
          <w:highlight w:val="none"/>
        </w:rPr>
        <w:t>第七章 定标及公示</w:t>
      </w:r>
      <w:r>
        <w:rPr>
          <w:highlight w:val="none"/>
        </w:rPr>
        <w:tab/>
      </w:r>
      <w:r>
        <w:rPr>
          <w:highlight w:val="none"/>
        </w:rPr>
        <w:fldChar w:fldCharType="begin"/>
      </w:r>
      <w:r>
        <w:rPr>
          <w:highlight w:val="none"/>
        </w:rPr>
        <w:instrText xml:space="preserve"> PAGEREF _Toc24424 </w:instrText>
      </w:r>
      <w:r>
        <w:rPr>
          <w:highlight w:val="none"/>
        </w:rPr>
        <w:fldChar w:fldCharType="separate"/>
      </w:r>
      <w:r>
        <w:rPr>
          <w:highlight w:val="none"/>
        </w:rPr>
        <w:t>75</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_Toc11649 </w:instrText>
      </w:r>
      <w:r>
        <w:rPr>
          <w:smallCaps/>
          <w:highlight w:val="none"/>
        </w:rPr>
        <w:fldChar w:fldCharType="separate"/>
      </w:r>
      <w:r>
        <w:rPr>
          <w:rFonts w:hint="eastAsia"/>
          <w:highlight w:val="none"/>
        </w:rPr>
        <w:t>第八章 公开招标失败的后续处理</w:t>
      </w:r>
      <w:r>
        <w:rPr>
          <w:highlight w:val="none"/>
        </w:rPr>
        <w:tab/>
      </w:r>
      <w:r>
        <w:rPr>
          <w:highlight w:val="none"/>
        </w:rPr>
        <w:fldChar w:fldCharType="begin"/>
      </w:r>
      <w:r>
        <w:rPr>
          <w:highlight w:val="none"/>
        </w:rPr>
        <w:instrText xml:space="preserve"> PAGEREF _Toc11649 </w:instrText>
      </w:r>
      <w:r>
        <w:rPr>
          <w:highlight w:val="none"/>
        </w:rPr>
        <w:fldChar w:fldCharType="separate"/>
      </w:r>
      <w:r>
        <w:rPr>
          <w:highlight w:val="none"/>
        </w:rPr>
        <w:t>76</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_Toc6217 </w:instrText>
      </w:r>
      <w:r>
        <w:rPr>
          <w:smallCaps/>
          <w:highlight w:val="none"/>
        </w:rPr>
        <w:fldChar w:fldCharType="separate"/>
      </w:r>
      <w:r>
        <w:rPr>
          <w:rFonts w:hint="eastAsia"/>
          <w:highlight w:val="none"/>
        </w:rPr>
        <w:t>第九章 合同的授予与备案</w:t>
      </w:r>
      <w:r>
        <w:rPr>
          <w:highlight w:val="none"/>
        </w:rPr>
        <w:tab/>
      </w:r>
      <w:r>
        <w:rPr>
          <w:highlight w:val="none"/>
        </w:rPr>
        <w:fldChar w:fldCharType="begin"/>
      </w:r>
      <w:r>
        <w:rPr>
          <w:highlight w:val="none"/>
        </w:rPr>
        <w:instrText xml:space="preserve"> PAGEREF _Toc6217 </w:instrText>
      </w:r>
      <w:r>
        <w:rPr>
          <w:highlight w:val="none"/>
        </w:rPr>
        <w:fldChar w:fldCharType="separate"/>
      </w:r>
      <w:r>
        <w:rPr>
          <w:highlight w:val="none"/>
        </w:rPr>
        <w:t>79</w:t>
      </w:r>
      <w:r>
        <w:rPr>
          <w:highlight w:val="none"/>
        </w:rPr>
        <w:fldChar w:fldCharType="end"/>
      </w:r>
      <w:r>
        <w:rPr>
          <w:smallCaps/>
          <w:highlight w:val="none"/>
        </w:rPr>
        <w:fldChar w:fldCharType="end"/>
      </w:r>
    </w:p>
    <w:p>
      <w:pPr>
        <w:pStyle w:val="36"/>
        <w:tabs>
          <w:tab w:val="right" w:leader="dot" w:pos="8788"/>
          <w:tab w:val="clear" w:pos="8789"/>
        </w:tabs>
        <w:rPr>
          <w:highlight w:val="none"/>
        </w:rPr>
      </w:pPr>
      <w:r>
        <w:rPr>
          <w:smallCaps/>
          <w:highlight w:val="none"/>
        </w:rPr>
        <w:fldChar w:fldCharType="begin"/>
      </w:r>
      <w:r>
        <w:rPr>
          <w:smallCaps/>
          <w:highlight w:val="none"/>
        </w:rPr>
        <w:instrText xml:space="preserve"> HYPERLINK \l _Toc28457 </w:instrText>
      </w:r>
      <w:r>
        <w:rPr>
          <w:smallCaps/>
          <w:highlight w:val="none"/>
        </w:rPr>
        <w:fldChar w:fldCharType="separate"/>
      </w:r>
      <w:r>
        <w:rPr>
          <w:rFonts w:hint="eastAsia"/>
          <w:highlight w:val="none"/>
        </w:rPr>
        <w:t>第十章 质疑受理</w:t>
      </w:r>
      <w:r>
        <w:rPr>
          <w:highlight w:val="none"/>
        </w:rPr>
        <w:tab/>
      </w:r>
      <w:r>
        <w:rPr>
          <w:highlight w:val="none"/>
        </w:rPr>
        <w:fldChar w:fldCharType="begin"/>
      </w:r>
      <w:r>
        <w:rPr>
          <w:highlight w:val="none"/>
        </w:rPr>
        <w:instrText xml:space="preserve"> PAGEREF _Toc28457 </w:instrText>
      </w:r>
      <w:r>
        <w:rPr>
          <w:highlight w:val="none"/>
        </w:rPr>
        <w:fldChar w:fldCharType="separate"/>
      </w:r>
      <w:r>
        <w:rPr>
          <w:highlight w:val="none"/>
        </w:rPr>
        <w:t>79</w:t>
      </w:r>
      <w:r>
        <w:rPr>
          <w:highlight w:val="none"/>
        </w:rPr>
        <w:fldChar w:fldCharType="end"/>
      </w:r>
      <w:r>
        <w:rPr>
          <w:smallCaps/>
          <w:highlight w:val="none"/>
        </w:rPr>
        <w:fldChar w:fldCharType="end"/>
      </w:r>
    </w:p>
    <w:p>
      <w:pPr>
        <w:pStyle w:val="31"/>
        <w:tabs>
          <w:tab w:val="right" w:leader="dot" w:pos="8788"/>
          <w:tab w:val="clear" w:pos="426"/>
          <w:tab w:val="clear" w:pos="8789"/>
        </w:tabs>
        <w:rPr>
          <w:highlight w:val="none"/>
        </w:rPr>
      </w:pPr>
      <w:r>
        <w:rPr>
          <w:smallCaps/>
          <w:highlight w:val="none"/>
        </w:rPr>
        <w:fldChar w:fldCharType="begin"/>
      </w:r>
      <w:r>
        <w:rPr>
          <w:smallCaps/>
          <w:highlight w:val="none"/>
        </w:rPr>
        <w:instrText xml:space="preserve"> HYPERLINK \l _Toc8594 </w:instrText>
      </w:r>
      <w:r>
        <w:rPr>
          <w:smallCaps/>
          <w:highlight w:val="none"/>
        </w:rPr>
        <w:fldChar w:fldCharType="separate"/>
      </w:r>
      <w:r>
        <w:rPr>
          <w:rFonts w:hint="eastAsia"/>
          <w:highlight w:val="none"/>
        </w:rPr>
        <w:t>招标代理服务取费说明</w:t>
      </w:r>
      <w:r>
        <w:rPr>
          <w:highlight w:val="none"/>
        </w:rPr>
        <w:tab/>
      </w:r>
      <w:r>
        <w:rPr>
          <w:highlight w:val="none"/>
        </w:rPr>
        <w:fldChar w:fldCharType="begin"/>
      </w:r>
      <w:r>
        <w:rPr>
          <w:highlight w:val="none"/>
        </w:rPr>
        <w:instrText xml:space="preserve"> PAGEREF _Toc8594 </w:instrText>
      </w:r>
      <w:r>
        <w:rPr>
          <w:highlight w:val="none"/>
        </w:rPr>
        <w:fldChar w:fldCharType="separate"/>
      </w:r>
      <w:r>
        <w:rPr>
          <w:highlight w:val="none"/>
        </w:rPr>
        <w:t>82</w:t>
      </w:r>
      <w:r>
        <w:rPr>
          <w:highlight w:val="none"/>
        </w:rPr>
        <w:fldChar w:fldCharType="end"/>
      </w:r>
      <w:r>
        <w:rPr>
          <w:smallCaps/>
          <w:highlight w:val="none"/>
        </w:rPr>
        <w:fldChar w:fldCharType="end"/>
      </w:r>
    </w:p>
    <w:p>
      <w:pPr>
        <w:tabs>
          <w:tab w:val="right" w:leader="dot" w:pos="8820"/>
          <w:tab w:val="right" w:leader="dot" w:pos="9240"/>
          <w:tab w:val="clear" w:pos="426"/>
        </w:tabs>
        <w:rPr>
          <w:highlight w:val="none"/>
        </w:rPr>
      </w:pPr>
      <w:r>
        <w:rPr>
          <w:smallCaps/>
          <w:sz w:val="28"/>
          <w:highlight w:val="none"/>
        </w:rPr>
        <w:fldChar w:fldCharType="end"/>
      </w:r>
    </w:p>
    <w:p>
      <w:pPr>
        <w:tabs>
          <w:tab w:val="clear" w:pos="426"/>
        </w:tabs>
        <w:rPr>
          <w:highlight w:val="none"/>
        </w:rPr>
        <w:sectPr>
          <w:footerReference r:id="rId3" w:type="even"/>
          <w:pgSz w:w="11906" w:h="16838"/>
          <w:pgMar w:top="1134" w:right="1700" w:bottom="1134" w:left="1418" w:header="851" w:footer="992" w:gutter="0"/>
          <w:pgNumType w:start="0"/>
          <w:cols w:space="425" w:num="1"/>
          <w:titlePg/>
          <w:docGrid w:linePitch="462" w:charSpace="0"/>
        </w:sectPr>
      </w:pPr>
    </w:p>
    <w:p>
      <w:pPr>
        <w:pStyle w:val="33"/>
        <w:tabs>
          <w:tab w:val="clear" w:pos="426"/>
        </w:tabs>
        <w:rPr>
          <w:sz w:val="30"/>
          <w:szCs w:val="30"/>
          <w:highlight w:val="none"/>
        </w:rPr>
      </w:pPr>
      <w:bookmarkStart w:id="0" w:name="_Toc5875380"/>
      <w:bookmarkStart w:id="1" w:name="_Toc16791"/>
      <w:bookmarkStart w:id="2" w:name="_Toc432592808"/>
      <w:r>
        <w:rPr>
          <w:rFonts w:hint="eastAsia"/>
          <w:sz w:val="30"/>
          <w:szCs w:val="30"/>
          <w:highlight w:val="none"/>
        </w:rPr>
        <w:t>警示条款</w:t>
      </w:r>
      <w:bookmarkEnd w:id="0"/>
      <w:bookmarkEnd w:id="1"/>
    </w:p>
    <w:p>
      <w:pPr>
        <w:ind w:firstLine="560" w:firstLineChars="200"/>
        <w:rPr>
          <w:sz w:val="28"/>
          <w:szCs w:val="28"/>
          <w:highlight w:val="none"/>
        </w:rPr>
      </w:pPr>
      <w:r>
        <w:rPr>
          <w:rFonts w:hint="eastAsia"/>
          <w:sz w:val="28"/>
          <w:szCs w:val="28"/>
          <w:highlight w:val="none"/>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tabs>
          <w:tab w:val="clear" w:pos="426"/>
        </w:tabs>
        <w:ind w:firstLine="425" w:firstLineChars="152"/>
        <w:rPr>
          <w:sz w:val="28"/>
          <w:szCs w:val="28"/>
          <w:highlight w:val="none"/>
        </w:rPr>
      </w:pPr>
      <w:r>
        <w:rPr>
          <w:rFonts w:hint="eastAsia"/>
          <w:sz w:val="28"/>
          <w:szCs w:val="28"/>
          <w:highlight w:val="none"/>
        </w:rPr>
        <w:t>（一）在采购活动中应当回避而未回避的；</w:t>
      </w:r>
    </w:p>
    <w:p>
      <w:pPr>
        <w:tabs>
          <w:tab w:val="clear" w:pos="426"/>
        </w:tabs>
        <w:ind w:firstLine="425" w:firstLineChars="152"/>
        <w:rPr>
          <w:sz w:val="28"/>
          <w:szCs w:val="28"/>
          <w:highlight w:val="none"/>
        </w:rPr>
      </w:pPr>
      <w:r>
        <w:rPr>
          <w:rFonts w:hint="eastAsia"/>
          <w:sz w:val="28"/>
          <w:szCs w:val="28"/>
          <w:highlight w:val="none"/>
        </w:rPr>
        <w:t>（二）未按本条例规定签订、履行采购合同，造成严重后果的；</w:t>
      </w:r>
    </w:p>
    <w:p>
      <w:pPr>
        <w:tabs>
          <w:tab w:val="clear" w:pos="426"/>
        </w:tabs>
        <w:ind w:firstLine="425" w:firstLineChars="152"/>
        <w:rPr>
          <w:sz w:val="28"/>
          <w:szCs w:val="28"/>
          <w:highlight w:val="none"/>
        </w:rPr>
      </w:pPr>
      <w:r>
        <w:rPr>
          <w:rFonts w:hint="eastAsia"/>
          <w:sz w:val="28"/>
          <w:szCs w:val="28"/>
          <w:highlight w:val="none"/>
        </w:rPr>
        <w:t>（三）隐瞒真实情况，提供虚假资料的；</w:t>
      </w:r>
    </w:p>
    <w:p>
      <w:pPr>
        <w:tabs>
          <w:tab w:val="clear" w:pos="426"/>
        </w:tabs>
        <w:ind w:firstLine="425" w:firstLineChars="152"/>
        <w:rPr>
          <w:sz w:val="28"/>
          <w:szCs w:val="28"/>
          <w:highlight w:val="none"/>
        </w:rPr>
      </w:pPr>
      <w:r>
        <w:rPr>
          <w:rFonts w:hint="eastAsia"/>
          <w:sz w:val="28"/>
          <w:szCs w:val="28"/>
          <w:highlight w:val="none"/>
        </w:rPr>
        <w:t>（四）以非法手段排斥其他供应商参与竞争的；</w:t>
      </w:r>
    </w:p>
    <w:p>
      <w:pPr>
        <w:tabs>
          <w:tab w:val="clear" w:pos="426"/>
        </w:tabs>
        <w:ind w:firstLine="425" w:firstLineChars="152"/>
        <w:rPr>
          <w:sz w:val="28"/>
          <w:szCs w:val="28"/>
          <w:highlight w:val="none"/>
        </w:rPr>
      </w:pPr>
      <w:r>
        <w:rPr>
          <w:rFonts w:hint="eastAsia"/>
          <w:sz w:val="28"/>
          <w:szCs w:val="28"/>
          <w:highlight w:val="none"/>
        </w:rPr>
        <w:t>（五）与其他采购参加人串通投标的；</w:t>
      </w:r>
    </w:p>
    <w:p>
      <w:pPr>
        <w:tabs>
          <w:tab w:val="clear" w:pos="426"/>
        </w:tabs>
        <w:ind w:firstLine="425" w:firstLineChars="152"/>
        <w:rPr>
          <w:sz w:val="28"/>
          <w:szCs w:val="28"/>
          <w:highlight w:val="none"/>
        </w:rPr>
      </w:pPr>
      <w:r>
        <w:rPr>
          <w:rFonts w:hint="eastAsia"/>
          <w:sz w:val="28"/>
          <w:szCs w:val="28"/>
          <w:highlight w:val="none"/>
        </w:rPr>
        <w:t>（六）恶意投诉的；</w:t>
      </w:r>
    </w:p>
    <w:p>
      <w:pPr>
        <w:tabs>
          <w:tab w:val="clear" w:pos="426"/>
        </w:tabs>
        <w:ind w:firstLine="425" w:firstLineChars="152"/>
        <w:rPr>
          <w:sz w:val="28"/>
          <w:szCs w:val="28"/>
          <w:highlight w:val="none"/>
        </w:rPr>
      </w:pPr>
      <w:r>
        <w:rPr>
          <w:rFonts w:hint="eastAsia"/>
          <w:sz w:val="28"/>
          <w:szCs w:val="28"/>
          <w:highlight w:val="none"/>
        </w:rPr>
        <w:t>（七）向采购项目相关人行贿或者提供其他不当利益的；</w:t>
      </w:r>
    </w:p>
    <w:p>
      <w:pPr>
        <w:tabs>
          <w:tab w:val="clear" w:pos="426"/>
        </w:tabs>
        <w:ind w:firstLine="425" w:firstLineChars="152"/>
        <w:rPr>
          <w:sz w:val="28"/>
          <w:szCs w:val="28"/>
          <w:highlight w:val="none"/>
        </w:rPr>
      </w:pPr>
      <w:r>
        <w:rPr>
          <w:rFonts w:hint="eastAsia"/>
          <w:sz w:val="28"/>
          <w:szCs w:val="28"/>
          <w:highlight w:val="none"/>
        </w:rPr>
        <w:t>（八）阻碍、抗拒主管部门监督检查的；</w:t>
      </w:r>
    </w:p>
    <w:p>
      <w:pPr>
        <w:tabs>
          <w:tab w:val="clear" w:pos="426"/>
        </w:tabs>
        <w:ind w:firstLine="425" w:firstLineChars="152"/>
        <w:rPr>
          <w:sz w:val="28"/>
          <w:szCs w:val="28"/>
          <w:highlight w:val="none"/>
        </w:rPr>
      </w:pPr>
      <w:r>
        <w:rPr>
          <w:rFonts w:hint="eastAsia"/>
          <w:sz w:val="28"/>
          <w:szCs w:val="28"/>
          <w:highlight w:val="none"/>
        </w:rPr>
        <w:t>（九）其他违反本条例规定的行为。</w:t>
      </w:r>
    </w:p>
    <w:p>
      <w:pPr>
        <w:tabs>
          <w:tab w:val="clear" w:pos="426"/>
        </w:tabs>
        <w:ind w:firstLine="425" w:firstLineChars="152"/>
        <w:rPr>
          <w:sz w:val="28"/>
          <w:szCs w:val="28"/>
          <w:highlight w:val="none"/>
        </w:rPr>
      </w:pPr>
    </w:p>
    <w:p>
      <w:pPr>
        <w:tabs>
          <w:tab w:val="clear" w:pos="426"/>
        </w:tabs>
        <w:ind w:firstLine="425" w:firstLineChars="152"/>
        <w:rPr>
          <w:sz w:val="28"/>
          <w:szCs w:val="28"/>
          <w:highlight w:val="none"/>
        </w:rPr>
      </w:pPr>
    </w:p>
    <w:p>
      <w:pPr>
        <w:tabs>
          <w:tab w:val="clear" w:pos="426"/>
        </w:tabs>
        <w:ind w:firstLine="425" w:firstLineChars="152"/>
        <w:rPr>
          <w:sz w:val="28"/>
          <w:szCs w:val="28"/>
          <w:highlight w:val="none"/>
        </w:rPr>
      </w:pPr>
    </w:p>
    <w:p>
      <w:pPr>
        <w:shd w:val="clear" w:color="auto" w:fill="auto"/>
        <w:tabs>
          <w:tab w:val="clear" w:pos="426"/>
        </w:tabs>
        <w:adjustRightInd/>
        <w:snapToGrid/>
        <w:spacing w:line="240" w:lineRule="auto"/>
        <w:jc w:val="left"/>
        <w:rPr>
          <w:rFonts w:ascii="Cambria" w:hAnsi="Cambria" w:cs="Times New Roman"/>
          <w:b/>
          <w:bCs/>
          <w:kern w:val="28"/>
          <w:sz w:val="28"/>
          <w:szCs w:val="32"/>
          <w:highlight w:val="none"/>
        </w:rPr>
      </w:pPr>
      <w:r>
        <w:rPr>
          <w:rFonts w:ascii="Cambria" w:hAnsi="Cambria" w:cs="Times New Roman"/>
          <w:b/>
          <w:bCs/>
          <w:kern w:val="28"/>
          <w:sz w:val="28"/>
          <w:szCs w:val="32"/>
          <w:highlight w:val="none"/>
        </w:rPr>
        <w:br w:type="page"/>
      </w:r>
    </w:p>
    <w:p>
      <w:pPr>
        <w:shd w:val="clear" w:color="auto" w:fill="auto"/>
        <w:tabs>
          <w:tab w:val="clear" w:pos="426"/>
        </w:tabs>
        <w:adjustRightInd/>
        <w:snapToGrid/>
        <w:spacing w:line="240" w:lineRule="auto"/>
        <w:jc w:val="left"/>
        <w:rPr>
          <w:rFonts w:ascii="Cambria" w:hAnsi="Cambria" w:cs="Times New Roman"/>
          <w:b/>
          <w:bCs/>
          <w:kern w:val="28"/>
          <w:sz w:val="28"/>
          <w:szCs w:val="32"/>
          <w:highlight w:val="none"/>
        </w:rPr>
      </w:pPr>
    </w:p>
    <w:p>
      <w:pPr>
        <w:pStyle w:val="33"/>
        <w:tabs>
          <w:tab w:val="clear" w:pos="426"/>
        </w:tabs>
        <w:rPr>
          <w:highlight w:val="none"/>
        </w:rPr>
      </w:pPr>
      <w:bookmarkStart w:id="3" w:name="_Toc21186"/>
      <w:bookmarkStart w:id="4" w:name="_Toc5875381"/>
      <w:bookmarkStart w:id="5" w:name="_Hlk4694126"/>
      <w:r>
        <w:rPr>
          <w:rFonts w:hint="eastAsia"/>
          <w:highlight w:val="none"/>
        </w:rPr>
        <w:t>项目关键信息</w:t>
      </w:r>
      <w:bookmarkEnd w:id="2"/>
      <w:bookmarkEnd w:id="3"/>
      <w:bookmarkEnd w:id="4"/>
    </w:p>
    <w:bookmarkEnd w:id="5"/>
    <w:tbl>
      <w:tblPr>
        <w:tblStyle w:val="44"/>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6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rFonts w:hint="eastAsia"/>
                <w:szCs w:val="21"/>
                <w:highlight w:val="none"/>
              </w:rPr>
              <w:t>项目编号</w:t>
            </w:r>
          </w:p>
        </w:tc>
        <w:tc>
          <w:tcPr>
            <w:tcW w:w="6244" w:type="dxa"/>
            <w:vAlign w:val="center"/>
          </w:tcPr>
          <w:p>
            <w:pPr>
              <w:tabs>
                <w:tab w:val="clear" w:pos="426"/>
              </w:tabs>
              <w:adjustRightInd/>
              <w:snapToGrid/>
              <w:spacing w:line="240" w:lineRule="auto"/>
              <w:rPr>
                <w:rFonts w:hint="eastAsia" w:eastAsia="宋体"/>
                <w:szCs w:val="21"/>
                <w:highlight w:val="none"/>
                <w:lang w:eastAsia="zh-CN"/>
              </w:rPr>
            </w:pPr>
            <w:r>
              <w:rPr>
                <w:rFonts w:hint="eastAsia"/>
                <w:szCs w:val="21"/>
                <w:highlight w:val="none"/>
                <w:lang w:eastAsia="zh-CN"/>
              </w:rPr>
              <w:t>SSZX2019-153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rFonts w:hint="eastAsia"/>
                <w:szCs w:val="21"/>
                <w:highlight w:val="none"/>
              </w:rPr>
              <w:t>项目名称</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南头中学校史馆设备及软件开发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szCs w:val="21"/>
                <w:highlight w:val="none"/>
              </w:rPr>
              <w:t>项目类型</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szCs w:val="21"/>
                <w:highlight w:val="none"/>
              </w:rPr>
              <w:t>采购方式</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szCs w:val="21"/>
                <w:highlight w:val="none"/>
              </w:rPr>
              <w:t>货币类型</w:t>
            </w:r>
          </w:p>
        </w:tc>
        <w:tc>
          <w:tcPr>
            <w:tcW w:w="6244" w:type="dxa"/>
            <w:vAlign w:val="center"/>
          </w:tcPr>
          <w:p>
            <w:pPr>
              <w:tabs>
                <w:tab w:val="clear" w:pos="426"/>
              </w:tabs>
              <w:adjustRightInd/>
              <w:snapToGrid/>
              <w:spacing w:line="240" w:lineRule="auto"/>
              <w:rPr>
                <w:szCs w:val="21"/>
                <w:highlight w:val="none"/>
              </w:rPr>
            </w:pPr>
            <w:r>
              <w:rPr>
                <w:szCs w:val="21"/>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szCs w:val="21"/>
                <w:highlight w:val="none"/>
              </w:rPr>
            </w:pPr>
            <w:r>
              <w:rPr>
                <w:rFonts w:hint="eastAsia"/>
                <w:szCs w:val="21"/>
                <w:highlight w:val="none"/>
              </w:rPr>
              <w:t>预算金额</w:t>
            </w:r>
          </w:p>
        </w:tc>
        <w:tc>
          <w:tcPr>
            <w:tcW w:w="6244" w:type="dxa"/>
            <w:vAlign w:val="center"/>
          </w:tcPr>
          <w:p>
            <w:pPr>
              <w:tabs>
                <w:tab w:val="clear" w:pos="426"/>
              </w:tabs>
              <w:adjustRightInd/>
              <w:snapToGrid/>
              <w:spacing w:line="240" w:lineRule="auto"/>
              <w:rPr>
                <w:bCs/>
                <w:szCs w:val="21"/>
                <w:highlight w:val="none"/>
              </w:rPr>
            </w:pPr>
            <w:r>
              <w:rPr>
                <w:rFonts w:hint="eastAsia" w:eastAsia="微软雅黑"/>
                <w:bCs/>
                <w:szCs w:val="21"/>
                <w:highlight w:val="none"/>
              </w:rPr>
              <w:t>¥677，000.00</w:t>
            </w:r>
            <w:r>
              <w:rPr>
                <w:rFonts w:hint="eastAsia"/>
                <w:bCs/>
                <w:szCs w:val="21"/>
                <w:highlight w:val="none"/>
              </w:rPr>
              <w:t>元（人民币陆拾柒万柒仟元整）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2284" w:type="dxa"/>
            <w:vAlign w:val="center"/>
          </w:tcPr>
          <w:p>
            <w:pPr>
              <w:tabs>
                <w:tab w:val="clear" w:pos="426"/>
              </w:tabs>
              <w:adjustRightInd/>
              <w:snapToGrid/>
              <w:spacing w:line="240" w:lineRule="auto"/>
              <w:rPr>
                <w:bCs/>
                <w:szCs w:val="21"/>
                <w:highlight w:val="none"/>
              </w:rPr>
            </w:pPr>
            <w:r>
              <w:rPr>
                <w:rFonts w:hint="eastAsia"/>
                <w:bCs/>
                <w:szCs w:val="21"/>
                <w:highlight w:val="none"/>
              </w:rPr>
              <w:t>投标保证金</w:t>
            </w:r>
          </w:p>
        </w:tc>
        <w:tc>
          <w:tcPr>
            <w:tcW w:w="6244" w:type="dxa"/>
            <w:vAlign w:val="center"/>
          </w:tcPr>
          <w:p>
            <w:pPr>
              <w:tabs>
                <w:tab w:val="clear" w:pos="426"/>
              </w:tabs>
              <w:adjustRightInd/>
              <w:snapToGrid/>
              <w:spacing w:line="240" w:lineRule="auto"/>
              <w:rPr>
                <w:snapToGrid w:val="0"/>
                <w:szCs w:val="21"/>
                <w:highlight w:val="none"/>
                <w:u w:val="single"/>
                <w:lang w:val="zh-CN"/>
              </w:rPr>
            </w:pPr>
            <w:r>
              <w:rPr>
                <w:rFonts w:hint="eastAsia"/>
                <w:szCs w:val="21"/>
                <w:highlight w:val="none"/>
              </w:rPr>
              <w:t>投标保证金为人民币</w:t>
            </w:r>
            <w:r>
              <w:rPr>
                <w:rFonts w:hint="eastAsia"/>
                <w:szCs w:val="21"/>
                <w:highlight w:val="none"/>
                <w:u w:val="single"/>
              </w:rPr>
              <w:t>10,000.00</w:t>
            </w:r>
            <w:r>
              <w:rPr>
                <w:rFonts w:hint="eastAsia"/>
                <w:szCs w:val="21"/>
                <w:highlight w:val="none"/>
              </w:rPr>
              <w:t>元整；投标保证金应在投标有效期截止日后九十（90）天内保持有效。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评定分离</w:t>
            </w:r>
          </w:p>
        </w:tc>
        <w:tc>
          <w:tcPr>
            <w:tcW w:w="6244" w:type="dxa"/>
            <w:vAlign w:val="center"/>
          </w:tcPr>
          <w:p>
            <w:pPr>
              <w:tabs>
                <w:tab w:val="clear" w:pos="426"/>
              </w:tabs>
              <w:adjustRightInd/>
              <w:snapToGrid/>
              <w:spacing w:line="240" w:lineRule="auto"/>
              <w:rPr>
                <w:highlight w:val="none"/>
              </w:rPr>
            </w:pPr>
            <w:r>
              <w:rPr>
                <w:rFonts w:hint="eastAsia"/>
                <w:highlight w:val="none"/>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szCs w:val="21"/>
                <w:highlight w:val="none"/>
              </w:rPr>
            </w:pPr>
            <w:r>
              <w:rPr>
                <w:rFonts w:hint="eastAsia"/>
                <w:bCs/>
                <w:color w:val="000000"/>
                <w:szCs w:val="21"/>
                <w:highlight w:val="none"/>
              </w:rPr>
              <w:t>评标方法</w:t>
            </w:r>
          </w:p>
        </w:tc>
        <w:tc>
          <w:tcPr>
            <w:tcW w:w="6244" w:type="dxa"/>
            <w:vAlign w:val="center"/>
          </w:tcPr>
          <w:p>
            <w:pPr>
              <w:tabs>
                <w:tab w:val="clear" w:pos="426"/>
              </w:tabs>
              <w:adjustRightInd/>
              <w:snapToGrid/>
              <w:spacing w:line="240" w:lineRule="auto"/>
              <w:rPr>
                <w:color w:val="000000"/>
                <w:szCs w:val="21"/>
                <w:highlight w:val="none"/>
              </w:rPr>
            </w:pPr>
            <w:r>
              <w:rPr>
                <w:highlight w:val="none"/>
              </w:rPr>
              <w:t>■</w:t>
            </w:r>
            <w:r>
              <w:rPr>
                <w:rFonts w:hint="eastAsia"/>
                <w:color w:val="000000"/>
                <w:szCs w:val="21"/>
                <w:highlight w:val="none"/>
              </w:rPr>
              <w:t xml:space="preserve">综合评分法     </w:t>
            </w:r>
            <w:r>
              <w:rPr>
                <w:rFonts w:hint="eastAsia"/>
                <w:highlight w:val="none"/>
              </w:rPr>
              <w:t>□</w:t>
            </w:r>
            <w:r>
              <w:rPr>
                <w:rFonts w:hint="eastAsia"/>
                <w:color w:val="000000"/>
                <w:szCs w:val="21"/>
                <w:highlight w:val="none"/>
              </w:rPr>
              <w:t xml:space="preserve">定性评审法     </w:t>
            </w:r>
            <w:r>
              <w:rPr>
                <w:rFonts w:hint="eastAsia"/>
                <w:highlight w:val="none"/>
              </w:rPr>
              <w:t>□</w:t>
            </w:r>
            <w:r>
              <w:rPr>
                <w:rFonts w:hint="eastAsia"/>
                <w:color w:val="000000"/>
                <w:szCs w:val="21"/>
                <w:highlight w:val="none"/>
              </w:rPr>
              <w:t>最低价法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bCs/>
                <w:color w:val="000000"/>
                <w:szCs w:val="21"/>
                <w:highlight w:val="none"/>
              </w:rPr>
            </w:pPr>
            <w:r>
              <w:rPr>
                <w:rFonts w:hint="eastAsia"/>
                <w:bCs/>
                <w:color w:val="000000"/>
                <w:szCs w:val="21"/>
                <w:highlight w:val="none"/>
              </w:rPr>
              <w:t>定标方法</w:t>
            </w:r>
          </w:p>
        </w:tc>
        <w:tc>
          <w:tcPr>
            <w:tcW w:w="6244" w:type="dxa"/>
            <w:vAlign w:val="center"/>
          </w:tcPr>
          <w:p>
            <w:pPr>
              <w:tabs>
                <w:tab w:val="clear" w:pos="426"/>
              </w:tabs>
              <w:adjustRightInd/>
              <w:snapToGrid/>
              <w:spacing w:line="240" w:lineRule="auto"/>
              <w:rPr>
                <w:color w:val="000000"/>
                <w:szCs w:val="21"/>
                <w:highlight w:val="none"/>
              </w:rPr>
            </w:pPr>
            <w:r>
              <w:rPr>
                <w:rFonts w:hint="eastAsia"/>
                <w:highlight w:val="none"/>
              </w:rPr>
              <w:t>■</w:t>
            </w:r>
            <w:r>
              <w:rPr>
                <w:rFonts w:hint="eastAsia"/>
                <w:color w:val="000000"/>
                <w:szCs w:val="21"/>
                <w:highlight w:val="none"/>
              </w:rPr>
              <w:t xml:space="preserve">自定法         </w:t>
            </w:r>
            <w:r>
              <w:rPr>
                <w:rFonts w:hint="eastAsia"/>
                <w:highlight w:val="none"/>
              </w:rPr>
              <w:t>□</w:t>
            </w:r>
            <w:r>
              <w:rPr>
                <w:rFonts w:hint="eastAsia"/>
                <w:color w:val="000000"/>
                <w:szCs w:val="21"/>
                <w:highlight w:val="none"/>
              </w:rPr>
              <w:t xml:space="preserve">抽签法         </w:t>
            </w:r>
            <w:r>
              <w:rPr>
                <w:rFonts w:hint="eastAsia"/>
                <w:highlight w:val="none"/>
              </w:rPr>
              <w:t>□</w:t>
            </w:r>
            <w:r>
              <w:rPr>
                <w:rFonts w:hint="eastAsia"/>
                <w:color w:val="000000"/>
                <w:szCs w:val="21"/>
                <w:highlight w:val="none"/>
              </w:rPr>
              <w:t>竞价法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投标人的替代方案</w:t>
            </w:r>
          </w:p>
        </w:tc>
        <w:tc>
          <w:tcPr>
            <w:tcW w:w="6244" w:type="dxa"/>
            <w:vAlign w:val="center"/>
          </w:tcPr>
          <w:p>
            <w:pPr>
              <w:tabs>
                <w:tab w:val="clear" w:pos="426"/>
              </w:tabs>
              <w:adjustRightInd/>
              <w:snapToGrid/>
              <w:spacing w:line="240" w:lineRule="auto"/>
              <w:rPr>
                <w:highlight w:val="none"/>
                <w:u w:val="single"/>
              </w:rPr>
            </w:pPr>
            <w:r>
              <w:rPr>
                <w:rFonts w:hint="eastAsia"/>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投标有效期</w:t>
            </w:r>
          </w:p>
        </w:tc>
        <w:tc>
          <w:tcPr>
            <w:tcW w:w="6244" w:type="dxa"/>
            <w:vAlign w:val="center"/>
          </w:tcPr>
          <w:p>
            <w:pPr>
              <w:tabs>
                <w:tab w:val="clear" w:pos="426"/>
              </w:tabs>
              <w:adjustRightInd/>
              <w:snapToGrid/>
              <w:spacing w:line="240" w:lineRule="auto"/>
              <w:rPr>
                <w:szCs w:val="21"/>
                <w:highlight w:val="none"/>
              </w:rPr>
            </w:pPr>
            <w:r>
              <w:rPr>
                <w:rFonts w:hint="eastAsia"/>
                <w:szCs w:val="21"/>
                <w:highlight w:val="none"/>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履约担保金额</w:t>
            </w:r>
          </w:p>
        </w:tc>
        <w:tc>
          <w:tcPr>
            <w:tcW w:w="6244" w:type="dxa"/>
            <w:vAlign w:val="center"/>
          </w:tcPr>
          <w:p>
            <w:pPr>
              <w:tabs>
                <w:tab w:val="clear" w:pos="426"/>
              </w:tabs>
              <w:adjustRightInd/>
              <w:snapToGrid/>
              <w:spacing w:line="240" w:lineRule="auto"/>
              <w:rPr>
                <w:highlight w:val="none"/>
              </w:rPr>
            </w:pPr>
            <w:r>
              <w:rPr>
                <w:highlight w:val="none"/>
              </w:rPr>
              <w:t>■</w:t>
            </w:r>
            <w:r>
              <w:rPr>
                <w:rFonts w:hint="eastAsia"/>
                <w:highlight w:val="none"/>
              </w:rPr>
              <w:t>不提交    □</w:t>
            </w:r>
            <w:r>
              <w:rPr>
                <w:highlight w:val="none"/>
              </w:rPr>
              <w:t>提交</w:t>
            </w:r>
          </w:p>
          <w:p>
            <w:pPr>
              <w:tabs>
                <w:tab w:val="clear" w:pos="426"/>
              </w:tabs>
              <w:adjustRightInd/>
              <w:snapToGrid/>
              <w:spacing w:line="240" w:lineRule="auto"/>
              <w:rPr>
                <w:highlight w:val="none"/>
              </w:rPr>
            </w:pPr>
            <w:r>
              <w:rPr>
                <w:rFonts w:hint="eastAsia"/>
                <w:highlight w:val="none"/>
              </w:rPr>
              <w:t>担保金额：为中标价的</w:t>
            </w:r>
            <w:r>
              <w:rPr>
                <w:rFonts w:hint="eastAsia"/>
                <w:highlight w:val="none"/>
                <w:u w:val="single"/>
              </w:rPr>
              <w:t>/</w:t>
            </w:r>
            <w:r>
              <w:rPr>
                <w:highlight w:val="none"/>
              </w:rPr>
              <w:t>% 或</w:t>
            </w:r>
            <w:r>
              <w:rPr>
                <w:highlight w:val="none"/>
                <w:u w:val="single"/>
              </w:rPr>
              <w:t xml:space="preserve"> / </w:t>
            </w:r>
            <w:r>
              <w:rPr>
                <w:highlight w:val="none"/>
              </w:rPr>
              <w:t>万元</w:t>
            </w:r>
          </w:p>
          <w:p>
            <w:pPr>
              <w:tabs>
                <w:tab w:val="clear" w:pos="426"/>
              </w:tabs>
              <w:adjustRightInd/>
              <w:snapToGrid/>
              <w:spacing w:line="240" w:lineRule="auto"/>
              <w:rPr>
                <w:highlight w:val="none"/>
              </w:rPr>
            </w:pPr>
            <w:r>
              <w:rPr>
                <w:rFonts w:hint="eastAsia"/>
                <w:highlight w:val="none"/>
              </w:rPr>
              <w:t>担保提交时间：收到中标通知书后，并在签订合同前提交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投标文件份数</w:t>
            </w:r>
          </w:p>
        </w:tc>
        <w:tc>
          <w:tcPr>
            <w:tcW w:w="6244" w:type="dxa"/>
            <w:vAlign w:val="center"/>
          </w:tcPr>
          <w:p>
            <w:pPr>
              <w:tabs>
                <w:tab w:val="clear" w:pos="426"/>
              </w:tabs>
              <w:adjustRightInd/>
              <w:snapToGrid/>
              <w:spacing w:line="240" w:lineRule="auto"/>
              <w:rPr>
                <w:highlight w:val="none"/>
              </w:rPr>
            </w:pPr>
            <w:r>
              <w:rPr>
                <w:rFonts w:hint="eastAsia"/>
                <w:highlight w:val="none"/>
              </w:rPr>
              <w:t>纸质投标文件一正、四副，开标信封一份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84" w:type="dxa"/>
            <w:vAlign w:val="center"/>
          </w:tcPr>
          <w:p>
            <w:pPr>
              <w:tabs>
                <w:tab w:val="clear" w:pos="426"/>
              </w:tabs>
              <w:adjustRightInd/>
              <w:snapToGrid/>
              <w:spacing w:line="240" w:lineRule="auto"/>
              <w:rPr>
                <w:highlight w:val="none"/>
              </w:rPr>
            </w:pPr>
            <w:r>
              <w:rPr>
                <w:rFonts w:hint="eastAsia"/>
                <w:highlight w:val="none"/>
              </w:rPr>
              <w:t>投标文件电子档</w:t>
            </w:r>
          </w:p>
        </w:tc>
        <w:tc>
          <w:tcPr>
            <w:tcW w:w="6244" w:type="dxa"/>
            <w:vAlign w:val="center"/>
          </w:tcPr>
          <w:p>
            <w:pPr>
              <w:tabs>
                <w:tab w:val="clear" w:pos="426"/>
              </w:tabs>
              <w:adjustRightInd/>
              <w:snapToGrid/>
              <w:spacing w:line="240" w:lineRule="auto"/>
              <w:rPr>
                <w:highlight w:val="none"/>
              </w:rPr>
            </w:pPr>
            <w:r>
              <w:rPr>
                <w:rFonts w:hint="eastAsia"/>
                <w:highlight w:val="none"/>
              </w:rPr>
              <w:t>电子光盘一张（投标文件正本盖章后的彩色扫描件，</w:t>
            </w:r>
            <w:r>
              <w:rPr>
                <w:highlight w:val="none"/>
              </w:rPr>
              <w:t>PDF格式）</w:t>
            </w:r>
          </w:p>
        </w:tc>
      </w:tr>
    </w:tbl>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tabs>
          <w:tab w:val="clear" w:pos="426"/>
        </w:tabs>
        <w:spacing w:line="240" w:lineRule="auto"/>
        <w:ind w:firstLine="426" w:firstLineChars="202"/>
        <w:rPr>
          <w:rFonts w:ascii="Calibri" w:hAnsi="Calibri" w:cs="Times New Roman"/>
          <w:b/>
          <w:kern w:val="2"/>
          <w:szCs w:val="22"/>
          <w:highlight w:val="none"/>
        </w:rPr>
      </w:pPr>
    </w:p>
    <w:p>
      <w:pPr>
        <w:tabs>
          <w:tab w:val="clear" w:pos="426"/>
        </w:tabs>
        <w:spacing w:line="240" w:lineRule="auto"/>
        <w:ind w:firstLine="424" w:firstLineChars="202"/>
        <w:rPr>
          <w:bCs/>
          <w:color w:val="000000"/>
          <w:highlight w:val="none"/>
        </w:rPr>
      </w:pPr>
    </w:p>
    <w:p>
      <w:pPr>
        <w:tabs>
          <w:tab w:val="clear" w:pos="426"/>
        </w:tabs>
        <w:spacing w:line="240" w:lineRule="auto"/>
        <w:ind w:firstLine="424" w:firstLineChars="202"/>
        <w:rPr>
          <w:bCs/>
          <w:color w:val="000000"/>
          <w:highlight w:val="none"/>
        </w:rPr>
      </w:pPr>
    </w:p>
    <w:p>
      <w:pPr>
        <w:pStyle w:val="33"/>
        <w:tabs>
          <w:tab w:val="clear" w:pos="426"/>
        </w:tabs>
        <w:rPr>
          <w:highlight w:val="none"/>
        </w:rPr>
      </w:pPr>
      <w:r>
        <w:rPr>
          <w:highlight w:val="none"/>
        </w:rPr>
        <w:br w:type="page"/>
      </w:r>
      <w:bookmarkStart w:id="6" w:name="_Toc5875382"/>
      <w:bookmarkStart w:id="7" w:name="_Toc3249"/>
      <w:r>
        <w:rPr>
          <w:rFonts w:hint="eastAsia"/>
          <w:highlight w:val="none"/>
        </w:rPr>
        <w:t>资格性审查表、符合性审查表</w:t>
      </w:r>
      <w:bookmarkEnd w:id="6"/>
      <w:bookmarkEnd w:id="7"/>
    </w:p>
    <w:p>
      <w:pPr>
        <w:jc w:val="center"/>
        <w:rPr>
          <w:b/>
          <w:color w:val="FF0000"/>
          <w:highlight w:val="none"/>
        </w:rPr>
      </w:pPr>
      <w:r>
        <w:rPr>
          <w:rFonts w:hint="eastAsia"/>
          <w:b/>
          <w:color w:val="FF0000"/>
          <w:highlight w:val="none"/>
        </w:rPr>
        <w:t>（凡有下列情形之一的，投标文件无效，投标作无效标处理</w:t>
      </w:r>
      <w:r>
        <w:rPr>
          <w:rFonts w:hint="eastAsia" w:ascii="黑体" w:eastAsia="黑体"/>
          <w:color w:val="FF0000"/>
          <w:szCs w:val="21"/>
          <w:highlight w:val="none"/>
        </w:rPr>
        <w:t>）</w:t>
      </w:r>
    </w:p>
    <w:tbl>
      <w:tblPr>
        <w:tblStyle w:val="4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7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tabs>
                <w:tab w:val="clear" w:pos="426"/>
              </w:tabs>
              <w:adjustRightInd/>
              <w:snapToGrid/>
              <w:spacing w:line="240" w:lineRule="auto"/>
              <w:jc w:val="center"/>
              <w:rPr>
                <w:b/>
                <w:highlight w:val="none"/>
              </w:rPr>
            </w:pPr>
            <w:r>
              <w:rPr>
                <w:rFonts w:hint="eastAsia"/>
                <w:b/>
                <w:highlight w:val="none"/>
              </w:rPr>
              <w:t>序号</w:t>
            </w:r>
          </w:p>
        </w:tc>
        <w:tc>
          <w:tcPr>
            <w:tcW w:w="7883" w:type="dxa"/>
            <w:vAlign w:val="center"/>
          </w:tcPr>
          <w:p>
            <w:pPr>
              <w:tabs>
                <w:tab w:val="clear" w:pos="426"/>
              </w:tabs>
              <w:adjustRightInd/>
              <w:snapToGrid/>
              <w:spacing w:line="240" w:lineRule="auto"/>
              <w:jc w:val="center"/>
              <w:rPr>
                <w:b/>
                <w:highlight w:val="none"/>
              </w:rPr>
            </w:pPr>
            <w:r>
              <w:rPr>
                <w:rFonts w:hint="eastAsia"/>
                <w:b/>
                <w:highlight w:val="none"/>
              </w:rPr>
              <w:t>评 审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b/>
                <w:highlight w:val="none"/>
              </w:rPr>
            </w:pPr>
            <w:r>
              <w:rPr>
                <w:rFonts w:hint="eastAsia"/>
                <w:highlight w:val="none"/>
              </w:rPr>
              <w:t>资格性审查表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1" w:hRule="atLeast"/>
        </w:trPr>
        <w:tc>
          <w:tcPr>
            <w:tcW w:w="645" w:type="dxa"/>
            <w:vAlign w:val="center"/>
          </w:tcPr>
          <w:p>
            <w:pPr>
              <w:numPr>
                <w:ilvl w:val="0"/>
                <w:numId w:val="21"/>
              </w:numPr>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投标人不具备招标资质要求，或未提交相应资质证明材料；(详见采购公告“投标人资质要求”，其中未列示的资质要求不得导致废标。)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645" w:type="dxa"/>
            <w:vAlign w:val="center"/>
          </w:tcPr>
          <w:p>
            <w:pPr>
              <w:numPr>
                <w:ilvl w:val="0"/>
                <w:numId w:val="21"/>
              </w:numPr>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投标截止时间前投标人未按“投标须知前附表”的要求提交投标保证金的。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8528" w:type="dxa"/>
            <w:gridSpan w:val="2"/>
            <w:vAlign w:val="center"/>
          </w:tcPr>
          <w:p>
            <w:pPr>
              <w:tabs>
                <w:tab w:val="clear" w:pos="426"/>
              </w:tabs>
              <w:adjustRightInd/>
              <w:snapToGrid/>
              <w:spacing w:line="240" w:lineRule="auto"/>
              <w:jc w:val="center"/>
              <w:rPr>
                <w:highlight w:val="none"/>
              </w:rPr>
            </w:pPr>
            <w:r>
              <w:rPr>
                <w:rFonts w:hint="eastAsia"/>
                <w:highlight w:val="none"/>
              </w:rPr>
              <w:t>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将一个包或一个标段的内容拆开投标；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投标文件及开标一览表未按招标文件规定密封、签字、盖章；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对同一项目投标时，提供两套以上的投标方案（招标文件另有规定的除外）；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未按照招标文件规定要求签署、盖章或投标文件没有法定代表人签字，或签字人没有法定代表人有效授权书的；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未按招标文件所提供的样式填写</w:t>
            </w:r>
            <w:r>
              <w:rPr>
                <w:highlight w:val="none"/>
              </w:rPr>
              <w:t>《</w:t>
            </w:r>
            <w:r>
              <w:rPr>
                <w:rFonts w:hint="eastAsia"/>
                <w:highlight w:val="none"/>
              </w:rPr>
              <w:t>投标函》；未按招标文件所提供的《政府采购投标及履约承诺函》进行承诺；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投标总价或分项报价高于财政预算限额（最高投标限价）；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szCs w:val="21"/>
                <w:highlight w:val="none"/>
              </w:rPr>
              <w:t>同一项目出现两个及以上报价，且按规定无法确定哪个是有效报价；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spacing w:line="240" w:lineRule="auto"/>
              <w:jc w:val="left"/>
              <w:rPr>
                <w:highlight w:val="none"/>
              </w:rPr>
            </w:pPr>
            <w:r>
              <w:rPr>
                <w:rFonts w:hint="eastAsia"/>
                <w:highlight w:val="none"/>
              </w:rPr>
              <w:t>投标文件载明的交货期超过招标文件规定的期限；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spacing w:line="240" w:lineRule="auto"/>
              <w:jc w:val="left"/>
              <w:rPr>
                <w:highlight w:val="none"/>
              </w:rPr>
            </w:pPr>
            <w:r>
              <w:rPr>
                <w:rFonts w:hint="eastAsia"/>
                <w:highlight w:val="none"/>
              </w:rPr>
              <w:t>投标文件载明的免费保修期低于招标文件规定的期限；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所投产品、工程、服务在商务、技术等方面没有实质性满足招标文件要求的；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《技术规格偏离表》或《商务需求偏离表》填写不全、不明或不实；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投标文件存在招标文件中规定的其它投标无效条款的；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645" w:type="dxa"/>
            <w:vAlign w:val="center"/>
          </w:tcPr>
          <w:p>
            <w:pPr>
              <w:widowControl w:val="0"/>
              <w:numPr>
                <w:ilvl w:val="0"/>
                <w:numId w:val="22"/>
              </w:numPr>
              <w:shd w:val="clear" w:color="auto" w:fill="auto"/>
              <w:tabs>
                <w:tab w:val="clear" w:pos="426"/>
              </w:tabs>
              <w:adjustRightInd/>
              <w:snapToGrid/>
              <w:spacing w:line="240" w:lineRule="auto"/>
              <w:ind w:left="0" w:firstLine="0"/>
              <w:jc w:val="center"/>
              <w:rPr>
                <w:highlight w:val="none"/>
              </w:rPr>
            </w:pPr>
          </w:p>
        </w:tc>
        <w:tc>
          <w:tcPr>
            <w:tcW w:w="7883" w:type="dxa"/>
            <w:vAlign w:val="center"/>
          </w:tcPr>
          <w:p>
            <w:pPr>
              <w:tabs>
                <w:tab w:val="clear" w:pos="426"/>
              </w:tabs>
              <w:adjustRightInd/>
              <w:snapToGrid/>
              <w:spacing w:line="240" w:lineRule="auto"/>
              <w:rPr>
                <w:highlight w:val="none"/>
              </w:rPr>
            </w:pPr>
            <w:r>
              <w:rPr>
                <w:rFonts w:hint="eastAsia"/>
                <w:highlight w:val="none"/>
              </w:rPr>
              <w:t>法律、法规规定的属于投标无效的其他情形。</w:t>
            </w:r>
          </w:p>
        </w:tc>
      </w:tr>
    </w:tbl>
    <w:p>
      <w:pPr>
        <w:pStyle w:val="33"/>
        <w:tabs>
          <w:tab w:val="clear" w:pos="426"/>
        </w:tabs>
        <w:rPr>
          <w:highlight w:val="none"/>
        </w:rPr>
        <w:sectPr>
          <w:headerReference r:id="rId5" w:type="first"/>
          <w:footerReference r:id="rId7" w:type="first"/>
          <w:headerReference r:id="rId4" w:type="default"/>
          <w:footerReference r:id="rId6" w:type="default"/>
          <w:pgSz w:w="11906" w:h="16838"/>
          <w:pgMar w:top="1440" w:right="1797" w:bottom="1440" w:left="1797" w:header="851" w:footer="992" w:gutter="0"/>
          <w:pgNumType w:start="1"/>
          <w:cols w:space="425" w:num="1"/>
          <w:titlePg/>
          <w:docGrid w:linePitch="462" w:charSpace="0"/>
        </w:sectPr>
      </w:pPr>
      <w:bookmarkStart w:id="8" w:name="_Toc5875383"/>
      <w:bookmarkStart w:id="9" w:name="_Toc435514846"/>
    </w:p>
    <w:p>
      <w:pPr>
        <w:pStyle w:val="33"/>
        <w:tabs>
          <w:tab w:val="clear" w:pos="426"/>
        </w:tabs>
        <w:rPr>
          <w:highlight w:val="none"/>
        </w:rPr>
      </w:pPr>
      <w:bookmarkStart w:id="10" w:name="_Toc20163"/>
      <w:r>
        <w:rPr>
          <w:highlight w:val="none"/>
        </w:rPr>
        <w:t>评标信息</w:t>
      </w:r>
      <w:bookmarkEnd w:id="8"/>
      <w:bookmarkEnd w:id="10"/>
    </w:p>
    <w:p>
      <w:pPr>
        <w:widowControl w:val="0"/>
        <w:shd w:val="clear" w:color="auto" w:fill="auto"/>
        <w:tabs>
          <w:tab w:val="clear" w:pos="426"/>
        </w:tabs>
        <w:adjustRightInd/>
        <w:snapToGrid/>
        <w:spacing w:line="300" w:lineRule="auto"/>
        <w:ind w:firstLine="422" w:firstLineChars="200"/>
        <w:rPr>
          <w:b/>
          <w:szCs w:val="21"/>
          <w:highlight w:val="none"/>
        </w:rPr>
      </w:pPr>
    </w:p>
    <w:p>
      <w:pPr>
        <w:widowControl w:val="0"/>
        <w:shd w:val="clear" w:color="auto" w:fill="auto"/>
        <w:tabs>
          <w:tab w:val="clear" w:pos="426"/>
        </w:tabs>
        <w:adjustRightInd/>
        <w:snapToGrid/>
        <w:spacing w:line="300" w:lineRule="auto"/>
        <w:ind w:firstLine="422" w:firstLineChars="200"/>
        <w:rPr>
          <w:b/>
          <w:szCs w:val="21"/>
          <w:highlight w:val="none"/>
        </w:rPr>
      </w:pPr>
      <w:r>
        <w:rPr>
          <w:b/>
          <w:szCs w:val="21"/>
          <w:highlight w:val="none"/>
        </w:rPr>
        <w:t>1.本项目的评审办法采用：</w:t>
      </w:r>
      <w:r>
        <w:rPr>
          <w:rFonts w:hint="eastAsia"/>
          <w:b/>
          <w:szCs w:val="21"/>
          <w:highlight w:val="none"/>
        </w:rPr>
        <w:t>评定分离</w:t>
      </w:r>
      <w:r>
        <w:rPr>
          <w:b/>
          <w:szCs w:val="21"/>
          <w:highlight w:val="none"/>
        </w:rPr>
        <w:t>。</w:t>
      </w:r>
      <w:r>
        <w:rPr>
          <w:rFonts w:hint="eastAsia"/>
          <w:b/>
          <w:szCs w:val="21"/>
          <w:highlight w:val="none"/>
        </w:rPr>
        <w:t>本招标文件所述评标方法和定标方法与招标文件《通用条款</w:t>
      </w:r>
      <w:r>
        <w:rPr>
          <w:b/>
          <w:szCs w:val="21"/>
          <w:highlight w:val="none"/>
        </w:rPr>
        <w:t>》所述不一致之处，</w:t>
      </w:r>
      <w:r>
        <w:rPr>
          <w:b/>
          <w:color w:val="FF0000"/>
          <w:szCs w:val="21"/>
          <w:highlight w:val="none"/>
        </w:rPr>
        <w:t>以</w:t>
      </w:r>
      <w:r>
        <w:rPr>
          <w:b/>
          <w:szCs w:val="21"/>
          <w:highlight w:val="none"/>
        </w:rPr>
        <w:t>以下方法为准。</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评标方法：综合评分法，定标方法：自定法</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候选中标人数量为：</w:t>
      </w:r>
      <w:r>
        <w:rPr>
          <w:szCs w:val="21"/>
          <w:highlight w:val="none"/>
        </w:rPr>
        <w:t>3家，中标人数量为：1家。</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评定分离，是指在政府集中采购程序中，以公开招标方式采购的，由评审委员会负责对投标文件进行评审、推荐候选中标投标人并出具书面评审报告，由采购人根据评审委员会出具的评审报告和推荐的候选中标人确定中标人。</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综合评分法，是指投标文件满足招标文件全部实质性要求，且按照评审因素的量化指标评审总得分排名前列（本项目规定选择评审总得分排名前三名）的投标人，作为推荐的候选中标人的评标方法。</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评标时，评标委员会各成员应当独立对每个通过资格性审查和符合性审查且报价不超过预算控制金额的投标人的投标文件进行评价，并汇总每个投标人每项评分因素的评分、评标委员会各成员对每个投标人评分的和，取算术平均值确定每个投标人的评审总得分，评审总得分排名前三名的投标人将被推荐为候选中标人，并作出评审结论</w:t>
      </w:r>
      <w:r>
        <w:rPr>
          <w:rFonts w:hint="eastAsia"/>
          <w:bCs/>
          <w:szCs w:val="21"/>
          <w:highlight w:val="none"/>
        </w:rPr>
        <w:t>。</w:t>
      </w:r>
    </w:p>
    <w:p>
      <w:pPr>
        <w:widowControl w:val="0"/>
        <w:shd w:val="clear" w:color="auto" w:fill="auto"/>
        <w:tabs>
          <w:tab w:val="clear" w:pos="426"/>
        </w:tabs>
        <w:adjustRightInd/>
        <w:snapToGrid/>
        <w:spacing w:line="300" w:lineRule="auto"/>
        <w:ind w:firstLine="420" w:firstLineChars="200"/>
        <w:rPr>
          <w:bCs/>
          <w:szCs w:val="21"/>
          <w:highlight w:val="none"/>
        </w:rPr>
      </w:pPr>
      <w:r>
        <w:rPr>
          <w:rFonts w:hint="eastAsia"/>
          <w:szCs w:val="21"/>
          <w:highlight w:val="none"/>
        </w:rPr>
        <w:t>候选中标人按评审总得分由高到低顺序排列；得分相同的，按投标报价由低到高顺序排列；得分且投标报价相同的，按技术指标或服务方案优劣顺序排列；排列前三名的投标人获得候选中标人推荐资格。得分且投标报价相同的且技术指标或服务方案优劣相同的，</w:t>
      </w:r>
      <w:r>
        <w:rPr>
          <w:rFonts w:cs="Times New Roman"/>
          <w:bCs/>
          <w:kern w:val="2"/>
          <w:szCs w:val="21"/>
          <w:highlight w:val="none"/>
        </w:rPr>
        <w:t>采取随机抽取方式确定</w:t>
      </w:r>
      <w:r>
        <w:rPr>
          <w:rFonts w:hint="eastAsia" w:cs="Times New Roman"/>
          <w:bCs/>
          <w:kern w:val="2"/>
          <w:szCs w:val="21"/>
          <w:highlight w:val="none"/>
        </w:rPr>
        <w:t>候选</w:t>
      </w:r>
      <w:r>
        <w:rPr>
          <w:rFonts w:cs="Times New Roman"/>
          <w:bCs/>
          <w:kern w:val="2"/>
          <w:szCs w:val="21"/>
          <w:highlight w:val="none"/>
        </w:rPr>
        <w:t>中标人推荐资格</w:t>
      </w:r>
      <w:r>
        <w:rPr>
          <w:rFonts w:hint="eastAsia" w:cs="Times New Roman"/>
          <w:bCs/>
          <w:kern w:val="2"/>
          <w:szCs w:val="21"/>
          <w:highlight w:val="none"/>
        </w:rPr>
        <w:t>。</w:t>
      </w:r>
    </w:p>
    <w:p>
      <w:pPr>
        <w:tabs>
          <w:tab w:val="clear" w:pos="426"/>
        </w:tabs>
        <w:spacing w:line="300" w:lineRule="auto"/>
        <w:ind w:firstLine="420" w:firstLineChars="200"/>
        <w:rPr>
          <w:highlight w:val="none"/>
        </w:rPr>
      </w:pPr>
      <w:r>
        <w:rPr>
          <w:rFonts w:hint="eastAsia"/>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widowControl w:val="0"/>
        <w:shd w:val="clear" w:color="auto" w:fill="auto"/>
        <w:tabs>
          <w:tab w:val="clear" w:pos="426"/>
        </w:tabs>
        <w:adjustRightInd/>
        <w:snapToGrid/>
        <w:spacing w:line="300" w:lineRule="auto"/>
        <w:ind w:firstLine="420" w:firstLineChars="200"/>
        <w:rPr>
          <w:szCs w:val="21"/>
          <w:highlight w:val="none"/>
        </w:rPr>
      </w:pPr>
      <w:r>
        <w:rPr>
          <w:rFonts w:hint="eastAsia"/>
          <w:szCs w:val="21"/>
          <w:highlight w:val="none"/>
        </w:rPr>
        <w:t>2</w:t>
      </w:r>
      <w:r>
        <w:rPr>
          <w:szCs w:val="21"/>
          <w:highlight w:val="none"/>
        </w:rPr>
        <w:t>.价格分计算方法：</w:t>
      </w:r>
    </w:p>
    <w:p>
      <w:pPr>
        <w:tabs>
          <w:tab w:val="clear" w:pos="426"/>
        </w:tabs>
        <w:spacing w:line="300" w:lineRule="auto"/>
        <w:ind w:firstLine="420" w:firstLineChars="200"/>
        <w:rPr>
          <w:szCs w:val="21"/>
          <w:highlight w:val="none"/>
        </w:rPr>
      </w:pPr>
      <w:r>
        <w:rPr>
          <w:rFonts w:hint="eastAsia"/>
          <w:szCs w:val="21"/>
          <w:highlight w:val="none"/>
        </w:rPr>
        <w:t>依据《</w:t>
      </w:r>
      <w:r>
        <w:rPr>
          <w:szCs w:val="21"/>
          <w:highlight w:val="none"/>
        </w:rPr>
        <w:t>深圳市财政委员会关于严格执行财政部87号令价格分计算规定的通知</w:t>
      </w:r>
      <w:r>
        <w:rPr>
          <w:rFonts w:hint="eastAsia"/>
          <w:szCs w:val="21"/>
          <w:highlight w:val="none"/>
        </w:rPr>
        <w:t>》（深财购〔</w:t>
      </w:r>
      <w:r>
        <w:rPr>
          <w:szCs w:val="21"/>
          <w:highlight w:val="none"/>
        </w:rPr>
        <w:t>2018〕33号</w:t>
      </w:r>
      <w:r>
        <w:rPr>
          <w:rFonts w:hint="eastAsia"/>
          <w:szCs w:val="21"/>
          <w:highlight w:val="none"/>
        </w:rPr>
        <w:t>）、《</w:t>
      </w:r>
      <w:r>
        <w:rPr>
          <w:szCs w:val="21"/>
          <w:highlight w:val="none"/>
        </w:rPr>
        <w:t>政府采购货物和服务招标投标管理办法</w:t>
      </w:r>
      <w:r>
        <w:rPr>
          <w:rFonts w:hint="eastAsia"/>
          <w:szCs w:val="21"/>
          <w:highlight w:val="none"/>
        </w:rPr>
        <w:t>》（财政部令第</w:t>
      </w:r>
      <w:r>
        <w:rPr>
          <w:szCs w:val="21"/>
          <w:highlight w:val="none"/>
        </w:rPr>
        <w:t>87号）</w:t>
      </w:r>
      <w:r>
        <w:rPr>
          <w:rFonts w:hint="eastAsia"/>
          <w:szCs w:val="21"/>
          <w:highlight w:val="none"/>
        </w:rPr>
        <w:t>第五十五条第六款之规定：价格分应当采用低价优先法计算，即满足招标文件要求且投标价格最低的投标报价为评标基准价，其价格分为满分。其他投标人的价格分统一按照下列公式计算：</w:t>
      </w:r>
    </w:p>
    <w:p>
      <w:pPr>
        <w:tabs>
          <w:tab w:val="clear" w:pos="426"/>
        </w:tabs>
        <w:spacing w:line="300" w:lineRule="auto"/>
        <w:ind w:firstLine="420" w:firstLineChars="200"/>
        <w:rPr>
          <w:szCs w:val="21"/>
          <w:highlight w:val="none"/>
        </w:rPr>
      </w:pPr>
      <w:r>
        <w:rPr>
          <w:rFonts w:hint="eastAsia"/>
          <w:szCs w:val="21"/>
          <w:highlight w:val="none"/>
        </w:rPr>
        <w:t>投标报价得分</w:t>
      </w:r>
      <w:r>
        <w:rPr>
          <w:szCs w:val="21"/>
          <w:highlight w:val="none"/>
        </w:rPr>
        <w:t>=(评标基准价／投标报价)×100</w:t>
      </w:r>
    </w:p>
    <w:p>
      <w:pPr>
        <w:tabs>
          <w:tab w:val="clear" w:pos="426"/>
        </w:tabs>
        <w:spacing w:line="300" w:lineRule="auto"/>
        <w:ind w:firstLine="420" w:firstLineChars="200"/>
        <w:rPr>
          <w:szCs w:val="21"/>
          <w:highlight w:val="none"/>
        </w:rPr>
      </w:pPr>
      <w:r>
        <w:rPr>
          <w:rFonts w:hint="eastAsia"/>
          <w:szCs w:val="21"/>
          <w:highlight w:val="none"/>
        </w:rPr>
        <w:t>评标总得分＝</w:t>
      </w:r>
      <w:r>
        <w:rPr>
          <w:szCs w:val="21"/>
          <w:highlight w:val="none"/>
        </w:rPr>
        <w:t>F1×A1＋F2×A2＋……＋Fn×An</w:t>
      </w:r>
    </w:p>
    <w:p>
      <w:pPr>
        <w:tabs>
          <w:tab w:val="clear" w:pos="426"/>
        </w:tabs>
        <w:spacing w:line="300" w:lineRule="auto"/>
        <w:ind w:firstLine="420" w:firstLineChars="200"/>
        <w:rPr>
          <w:szCs w:val="21"/>
          <w:highlight w:val="none"/>
        </w:rPr>
      </w:pPr>
      <w:r>
        <w:rPr>
          <w:szCs w:val="21"/>
          <w:highlight w:val="none"/>
        </w:rPr>
        <w:t>F1、F2……Fn分别为各项评审因素的得分；</w:t>
      </w:r>
    </w:p>
    <w:p>
      <w:pPr>
        <w:tabs>
          <w:tab w:val="clear" w:pos="426"/>
        </w:tabs>
        <w:spacing w:line="300" w:lineRule="auto"/>
        <w:ind w:firstLine="420" w:firstLineChars="200"/>
        <w:rPr>
          <w:szCs w:val="21"/>
          <w:highlight w:val="none"/>
        </w:rPr>
      </w:pPr>
      <w:r>
        <w:rPr>
          <w:szCs w:val="21"/>
          <w:highlight w:val="none"/>
        </w:rPr>
        <w:t>A1、A2、……An 分别为各项评审因素所占的权重(A1＋A2＋……＋An＝1)。</w:t>
      </w:r>
    </w:p>
    <w:p>
      <w:pPr>
        <w:tabs>
          <w:tab w:val="clear" w:pos="426"/>
        </w:tabs>
        <w:spacing w:line="300" w:lineRule="auto"/>
        <w:ind w:firstLine="420" w:firstLineChars="200"/>
        <w:rPr>
          <w:szCs w:val="21"/>
          <w:highlight w:val="none"/>
        </w:rPr>
      </w:pPr>
      <w:r>
        <w:rPr>
          <w:rFonts w:hint="eastAsia"/>
          <w:szCs w:val="21"/>
          <w:highlight w:val="none"/>
        </w:rPr>
        <w:t>评标过程中，不得去掉报价中的最高报价和最低报价。</w:t>
      </w:r>
    </w:p>
    <w:p>
      <w:pPr>
        <w:tabs>
          <w:tab w:val="clear" w:pos="426"/>
        </w:tabs>
        <w:spacing w:line="300" w:lineRule="auto"/>
        <w:ind w:firstLine="420" w:firstLineChars="200"/>
        <w:rPr>
          <w:szCs w:val="21"/>
          <w:highlight w:val="none"/>
        </w:rPr>
      </w:pPr>
      <w:r>
        <w:rPr>
          <w:rFonts w:hint="eastAsia"/>
          <w:szCs w:val="21"/>
          <w:highlight w:val="none"/>
        </w:rPr>
        <w:t>因落实政府采购政策进行价格调整的，以调整后的价格计算评标基准价和投标报价。</w:t>
      </w:r>
    </w:p>
    <w:p>
      <w:pPr>
        <w:tabs>
          <w:tab w:val="clear" w:pos="426"/>
        </w:tabs>
        <w:spacing w:line="300" w:lineRule="auto"/>
        <w:ind w:firstLine="420" w:firstLineChars="200"/>
        <w:rPr>
          <w:szCs w:val="21"/>
          <w:highlight w:val="none"/>
        </w:rPr>
      </w:pPr>
      <w:r>
        <w:rPr>
          <w:rFonts w:hint="eastAsia"/>
          <w:szCs w:val="21"/>
          <w:highlight w:val="none"/>
        </w:rPr>
        <w:t>在实际评标过程中，《评分细则表》中的“分值”项为各项评审因素的实际分</w:t>
      </w:r>
      <w:r>
        <w:rPr>
          <w:szCs w:val="21"/>
          <w:highlight w:val="none"/>
        </w:rPr>
        <w:t>Sn，Sn=Fn×An，评标总得分=S1＋S2＋……＋Sn，投标报价的实际分=(评标基准价／投标报价)×100×价格权重。</w:t>
      </w:r>
    </w:p>
    <w:p>
      <w:pPr>
        <w:tabs>
          <w:tab w:val="clear" w:pos="426"/>
        </w:tabs>
        <w:spacing w:line="300" w:lineRule="auto"/>
        <w:ind w:firstLine="420" w:firstLineChars="200"/>
        <w:rPr>
          <w:szCs w:val="21"/>
          <w:highlight w:val="none"/>
        </w:rPr>
      </w:pPr>
      <w:r>
        <w:rPr>
          <w:rFonts w:hint="eastAsia"/>
          <w:szCs w:val="21"/>
          <w:highlight w:val="none"/>
        </w:rPr>
        <w:t>3</w:t>
      </w:r>
      <w:r>
        <w:rPr>
          <w:szCs w:val="21"/>
          <w:highlight w:val="none"/>
        </w:rPr>
        <w:t>.评标专家应对通过投标文件初审进入评标程序的投标文件先评技术标、再评商务标；</w:t>
      </w:r>
    </w:p>
    <w:p>
      <w:pPr>
        <w:tabs>
          <w:tab w:val="clear" w:pos="426"/>
        </w:tabs>
        <w:spacing w:line="300" w:lineRule="auto"/>
        <w:ind w:firstLine="420" w:firstLineChars="200"/>
        <w:rPr>
          <w:szCs w:val="21"/>
          <w:highlight w:val="none"/>
        </w:rPr>
      </w:pPr>
      <w:r>
        <w:rPr>
          <w:rFonts w:hint="eastAsia"/>
          <w:szCs w:val="21"/>
          <w:highlight w:val="none"/>
        </w:rPr>
        <w:t>4</w:t>
      </w:r>
      <w:r>
        <w:rPr>
          <w:szCs w:val="21"/>
          <w:highlight w:val="none"/>
        </w:rPr>
        <w:t>.评标专家需按招标文件规定的评审标准对投标人提交的投标文件进行评审，投标文件中与评审标准无关的内容不作为评审内容</w:t>
      </w:r>
      <w:r>
        <w:rPr>
          <w:rFonts w:hint="eastAsia"/>
          <w:szCs w:val="21"/>
          <w:highlight w:val="none"/>
        </w:rPr>
        <w:t>。</w:t>
      </w:r>
    </w:p>
    <w:p>
      <w:pPr>
        <w:widowControl w:val="0"/>
        <w:shd w:val="clear" w:color="auto" w:fill="auto"/>
        <w:tabs>
          <w:tab w:val="clear" w:pos="426"/>
        </w:tabs>
        <w:adjustRightInd/>
        <w:snapToGrid/>
        <w:ind w:left="420"/>
        <w:rPr>
          <w:szCs w:val="21"/>
          <w:highlight w:val="none"/>
        </w:rPr>
      </w:pPr>
      <w:r>
        <w:rPr>
          <w:rFonts w:hint="eastAsia"/>
          <w:szCs w:val="21"/>
          <w:highlight w:val="none"/>
        </w:rPr>
        <w:t>5</w:t>
      </w:r>
      <w:r>
        <w:rPr>
          <w:szCs w:val="21"/>
          <w:highlight w:val="none"/>
        </w:rPr>
        <w:t>.</w:t>
      </w:r>
      <w:r>
        <w:rPr>
          <w:rFonts w:hint="eastAsia"/>
          <w:szCs w:val="21"/>
          <w:highlight w:val="none"/>
        </w:rPr>
        <w:t>评标委员会在评标时，应按照以下量化的评审因素，对各投标文件进行分析和比较：</w:t>
      </w:r>
    </w:p>
    <w:p>
      <w:pPr>
        <w:tabs>
          <w:tab w:val="clear" w:pos="426"/>
        </w:tabs>
        <w:spacing w:line="300" w:lineRule="auto"/>
        <w:rPr>
          <w:b/>
          <w:szCs w:val="21"/>
          <w:highlight w:val="none"/>
        </w:rPr>
      </w:pPr>
      <w:bookmarkStart w:id="11" w:name="_Hlk535523259"/>
    </w:p>
    <w:bookmarkEnd w:id="9"/>
    <w:bookmarkEnd w:id="11"/>
    <w:p>
      <w:pPr>
        <w:pStyle w:val="33"/>
        <w:widowControl w:val="0"/>
        <w:shd w:val="clear" w:color="auto" w:fill="auto"/>
        <w:tabs>
          <w:tab w:val="clear" w:pos="426"/>
        </w:tabs>
        <w:adjustRightInd/>
        <w:snapToGrid/>
        <w:outlineLvl w:val="9"/>
        <w:rPr>
          <w:rFonts w:ascii="宋体" w:hAnsi="宋体"/>
          <w:bCs w:val="0"/>
          <w:sz w:val="24"/>
          <w:szCs w:val="24"/>
          <w:highlight w:val="none"/>
        </w:rPr>
      </w:pPr>
      <w:r>
        <w:rPr>
          <w:bCs w:val="0"/>
          <w:sz w:val="24"/>
          <w:highlight w:val="none"/>
        </w:rPr>
        <w:br w:type="page"/>
      </w:r>
      <w:bookmarkStart w:id="12" w:name="_Toc20574"/>
      <w:r>
        <w:rPr>
          <w:rFonts w:hint="eastAsia" w:ascii="宋体" w:hAnsi="宋体"/>
          <w:bCs w:val="0"/>
          <w:sz w:val="24"/>
          <w:szCs w:val="24"/>
          <w:highlight w:val="none"/>
        </w:rPr>
        <w:t>评分细则表</w:t>
      </w:r>
      <w:bookmarkEnd w:id="12"/>
    </w:p>
    <w:p>
      <w:pPr>
        <w:widowControl w:val="0"/>
        <w:shd w:val="clear" w:color="auto" w:fill="auto"/>
        <w:tabs>
          <w:tab w:val="clear" w:pos="426"/>
        </w:tabs>
        <w:adjustRightInd/>
        <w:snapToGrid/>
        <w:spacing w:line="240" w:lineRule="auto"/>
        <w:rPr>
          <w:rFonts w:cs="Times New Roman"/>
          <w:b/>
          <w:kern w:val="2"/>
          <w:szCs w:val="21"/>
          <w:highlight w:val="none"/>
        </w:rPr>
      </w:pPr>
      <w:bookmarkStart w:id="13" w:name="bt合同条款"/>
      <w:bookmarkEnd w:id="13"/>
      <w:bookmarkStart w:id="14" w:name="bt投标报价汇总表"/>
      <w:bookmarkEnd w:id="14"/>
      <w:bookmarkStart w:id="15" w:name="bt其他资料2"/>
      <w:bookmarkEnd w:id="15"/>
      <w:bookmarkStart w:id="16" w:name="bt投标人情况介绍"/>
      <w:bookmarkEnd w:id="16"/>
      <w:bookmarkStart w:id="17" w:name="bt投标函"/>
      <w:bookmarkEnd w:id="17"/>
      <w:bookmarkStart w:id="18" w:name="bt说明"/>
      <w:bookmarkEnd w:id="18"/>
      <w:bookmarkStart w:id="19" w:name="合同格式"/>
      <w:bookmarkEnd w:id="19"/>
      <w:bookmarkStart w:id="20" w:name="bt开标一览表"/>
      <w:bookmarkEnd w:id="20"/>
      <w:bookmarkStart w:id="21" w:name="bt本工程承诺书"/>
      <w:bookmarkEnd w:id="21"/>
      <w:bookmarkStart w:id="22" w:name="bt技术标投标文件格式"/>
      <w:bookmarkEnd w:id="22"/>
      <w:bookmarkStart w:id="23" w:name="bt其他资料由投标人自定"/>
      <w:bookmarkEnd w:id="23"/>
      <w:bookmarkStart w:id="24" w:name="bt合同条款及格式"/>
      <w:bookmarkEnd w:id="24"/>
      <w:bookmarkStart w:id="25" w:name="bt投标文件签署授权委托书"/>
      <w:bookmarkEnd w:id="25"/>
      <w:bookmarkStart w:id="26" w:name="bt投标人须知"/>
      <w:bookmarkEnd w:id="26"/>
      <w:bookmarkStart w:id="27" w:name="bt合同格式"/>
      <w:bookmarkEnd w:id="27"/>
      <w:bookmarkStart w:id="28" w:name="bt商务标投标文件格式"/>
      <w:bookmarkEnd w:id="28"/>
      <w:bookmarkStart w:id="29" w:name="bt项目管理班子配备情况"/>
      <w:bookmarkEnd w:id="29"/>
      <w:bookmarkStart w:id="30" w:name="_Toc432592812"/>
      <w:r>
        <w:rPr>
          <w:rFonts w:hint="eastAsia" w:cs="Times New Roman"/>
          <w:b/>
          <w:kern w:val="2"/>
          <w:szCs w:val="21"/>
          <w:highlight w:val="none"/>
        </w:rPr>
        <w:t>1、权重范围</w:t>
      </w:r>
    </w:p>
    <w:tbl>
      <w:tblPr>
        <w:tblStyle w:val="44"/>
        <w:tblW w:w="83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5"/>
        <w:gridCol w:w="2268"/>
        <w:gridCol w:w="1842"/>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2235" w:type="dxa"/>
            <w:vAlign w:val="center"/>
          </w:tcPr>
          <w:p>
            <w:pPr>
              <w:widowControl w:val="0"/>
              <w:shd w:val="clear" w:color="auto" w:fill="auto"/>
              <w:tabs>
                <w:tab w:val="clear" w:pos="426"/>
              </w:tabs>
              <w:adjustRightInd/>
              <w:snapToGrid/>
              <w:spacing w:line="240" w:lineRule="auto"/>
              <w:jc w:val="center"/>
              <w:rPr>
                <w:rFonts w:cs="Times New Roman"/>
                <w:kern w:val="2"/>
                <w:szCs w:val="21"/>
                <w:highlight w:val="none"/>
              </w:rPr>
            </w:pPr>
            <w:r>
              <w:rPr>
                <w:rFonts w:hint="eastAsia" w:cs="Times New Roman"/>
                <w:kern w:val="2"/>
                <w:szCs w:val="21"/>
                <w:highlight w:val="none"/>
              </w:rPr>
              <w:t>价格</w:t>
            </w:r>
          </w:p>
        </w:tc>
        <w:tc>
          <w:tcPr>
            <w:tcW w:w="2268" w:type="dxa"/>
            <w:vAlign w:val="center"/>
          </w:tcPr>
          <w:p>
            <w:pPr>
              <w:widowControl w:val="0"/>
              <w:shd w:val="clear" w:color="auto" w:fill="auto"/>
              <w:tabs>
                <w:tab w:val="clear" w:pos="426"/>
              </w:tabs>
              <w:adjustRightInd/>
              <w:snapToGrid/>
              <w:spacing w:line="240" w:lineRule="auto"/>
              <w:jc w:val="center"/>
              <w:rPr>
                <w:rFonts w:cs="Times New Roman"/>
                <w:kern w:val="2"/>
                <w:szCs w:val="21"/>
                <w:highlight w:val="none"/>
              </w:rPr>
            </w:pPr>
            <w:r>
              <w:rPr>
                <w:rFonts w:hint="eastAsia" w:cs="Times New Roman"/>
                <w:kern w:val="2"/>
                <w:szCs w:val="21"/>
                <w:highlight w:val="none"/>
              </w:rPr>
              <w:t>技术</w:t>
            </w:r>
          </w:p>
        </w:tc>
        <w:tc>
          <w:tcPr>
            <w:tcW w:w="1842" w:type="dxa"/>
            <w:vAlign w:val="center"/>
          </w:tcPr>
          <w:p>
            <w:pPr>
              <w:widowControl w:val="0"/>
              <w:shd w:val="clear" w:color="auto" w:fill="auto"/>
              <w:tabs>
                <w:tab w:val="clear" w:pos="426"/>
              </w:tabs>
              <w:adjustRightInd/>
              <w:snapToGrid/>
              <w:spacing w:line="240" w:lineRule="auto"/>
              <w:jc w:val="center"/>
              <w:rPr>
                <w:rFonts w:cs="Times New Roman"/>
                <w:kern w:val="2"/>
                <w:szCs w:val="21"/>
                <w:highlight w:val="none"/>
              </w:rPr>
            </w:pPr>
            <w:r>
              <w:rPr>
                <w:rFonts w:hint="eastAsia" w:cs="Times New Roman"/>
                <w:kern w:val="2"/>
                <w:szCs w:val="21"/>
                <w:highlight w:val="none"/>
              </w:rPr>
              <w:t>商务</w:t>
            </w:r>
          </w:p>
        </w:tc>
        <w:tc>
          <w:tcPr>
            <w:tcW w:w="1985" w:type="dxa"/>
            <w:vAlign w:val="center"/>
          </w:tcPr>
          <w:p>
            <w:pPr>
              <w:widowControl w:val="0"/>
              <w:shd w:val="clear" w:color="auto" w:fill="auto"/>
              <w:tabs>
                <w:tab w:val="clear" w:pos="426"/>
              </w:tabs>
              <w:adjustRightInd/>
              <w:snapToGrid/>
              <w:spacing w:line="240" w:lineRule="auto"/>
              <w:jc w:val="center"/>
              <w:rPr>
                <w:rFonts w:cs="Times New Roman"/>
                <w:kern w:val="2"/>
                <w:szCs w:val="21"/>
                <w:highlight w:val="none"/>
              </w:rPr>
            </w:pPr>
            <w:r>
              <w:rPr>
                <w:rFonts w:hint="eastAsia" w:cs="Times New Roman"/>
                <w:kern w:val="2"/>
                <w:szCs w:val="21"/>
                <w:highlight w:val="none"/>
              </w:rPr>
              <w:t>综合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trPr>
        <w:tc>
          <w:tcPr>
            <w:tcW w:w="2235" w:type="dxa"/>
            <w:vAlign w:val="center"/>
          </w:tcPr>
          <w:p>
            <w:pPr>
              <w:widowControl w:val="0"/>
              <w:shd w:val="clear" w:color="auto" w:fill="auto"/>
              <w:tabs>
                <w:tab w:val="clear" w:pos="426"/>
              </w:tabs>
              <w:adjustRightInd/>
              <w:snapToGrid/>
              <w:spacing w:line="240" w:lineRule="auto"/>
              <w:jc w:val="center"/>
              <w:rPr>
                <w:rFonts w:cs="Times New Roman"/>
                <w:kern w:val="2"/>
                <w:szCs w:val="21"/>
                <w:highlight w:val="none"/>
              </w:rPr>
            </w:pPr>
            <w:r>
              <w:rPr>
                <w:rFonts w:hint="eastAsia" w:cs="Times New Roman"/>
                <w:kern w:val="2"/>
                <w:szCs w:val="21"/>
                <w:highlight w:val="none"/>
              </w:rPr>
              <w:t>30分</w:t>
            </w:r>
          </w:p>
        </w:tc>
        <w:tc>
          <w:tcPr>
            <w:tcW w:w="2268" w:type="dxa"/>
            <w:vAlign w:val="center"/>
          </w:tcPr>
          <w:p>
            <w:pPr>
              <w:widowControl w:val="0"/>
              <w:shd w:val="clear" w:color="auto" w:fill="auto"/>
              <w:adjustRightInd/>
              <w:snapToGrid/>
              <w:spacing w:line="240" w:lineRule="auto"/>
              <w:jc w:val="center"/>
              <w:rPr>
                <w:rFonts w:cs="Times New Roman"/>
                <w:color w:val="FF0000"/>
                <w:kern w:val="2"/>
                <w:szCs w:val="21"/>
                <w:highlight w:val="none"/>
              </w:rPr>
            </w:pPr>
            <w:r>
              <w:rPr>
                <w:rFonts w:hint="eastAsia" w:cs="Times New Roman"/>
                <w:color w:val="FF0000"/>
                <w:kern w:val="2"/>
                <w:szCs w:val="21"/>
                <w:highlight w:val="none"/>
              </w:rPr>
              <w:t>45分</w:t>
            </w:r>
          </w:p>
        </w:tc>
        <w:tc>
          <w:tcPr>
            <w:tcW w:w="1842" w:type="dxa"/>
            <w:vAlign w:val="center"/>
          </w:tcPr>
          <w:p>
            <w:pPr>
              <w:widowControl w:val="0"/>
              <w:shd w:val="clear" w:color="auto" w:fill="auto"/>
              <w:tabs>
                <w:tab w:val="clear" w:pos="426"/>
              </w:tabs>
              <w:adjustRightInd/>
              <w:snapToGrid/>
              <w:spacing w:line="240" w:lineRule="auto"/>
              <w:jc w:val="center"/>
              <w:rPr>
                <w:rFonts w:cs="Times New Roman"/>
                <w:color w:val="FF0000"/>
                <w:kern w:val="2"/>
                <w:szCs w:val="21"/>
                <w:highlight w:val="none"/>
              </w:rPr>
            </w:pPr>
            <w:r>
              <w:rPr>
                <w:rFonts w:hint="eastAsia" w:cs="Times New Roman"/>
                <w:color w:val="FF0000"/>
                <w:kern w:val="2"/>
                <w:szCs w:val="21"/>
                <w:highlight w:val="none"/>
              </w:rPr>
              <w:t>20分</w:t>
            </w:r>
          </w:p>
        </w:tc>
        <w:tc>
          <w:tcPr>
            <w:tcW w:w="1985" w:type="dxa"/>
            <w:vAlign w:val="center"/>
          </w:tcPr>
          <w:p>
            <w:pPr>
              <w:widowControl w:val="0"/>
              <w:shd w:val="clear" w:color="auto" w:fill="auto"/>
              <w:tabs>
                <w:tab w:val="clear" w:pos="426"/>
              </w:tabs>
              <w:adjustRightInd/>
              <w:snapToGrid/>
              <w:spacing w:line="240" w:lineRule="auto"/>
              <w:jc w:val="center"/>
              <w:rPr>
                <w:rFonts w:cs="Times New Roman"/>
                <w:color w:val="FF0000"/>
                <w:kern w:val="2"/>
                <w:szCs w:val="21"/>
                <w:highlight w:val="none"/>
              </w:rPr>
            </w:pPr>
            <w:r>
              <w:rPr>
                <w:rFonts w:hint="eastAsia" w:cs="Times New Roman"/>
                <w:color w:val="FF0000"/>
                <w:kern w:val="2"/>
                <w:szCs w:val="21"/>
                <w:highlight w:val="none"/>
              </w:rPr>
              <w:t>5分</w:t>
            </w:r>
          </w:p>
        </w:tc>
      </w:tr>
    </w:tbl>
    <w:p>
      <w:pPr>
        <w:tabs>
          <w:tab w:val="clear" w:pos="426"/>
        </w:tabs>
        <w:spacing w:line="240" w:lineRule="auto"/>
        <w:rPr>
          <w:highlight w:val="none"/>
        </w:rPr>
      </w:pPr>
    </w:p>
    <w:tbl>
      <w:tblPr>
        <w:tblStyle w:val="44"/>
        <w:tblpPr w:leftFromText="180" w:rightFromText="180" w:vertAnchor="text" w:horzAnchor="page" w:tblpX="1508" w:tblpY="268"/>
        <w:tblOverlap w:val="never"/>
        <w:tblW w:w="907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80"/>
        <w:gridCol w:w="680"/>
        <w:gridCol w:w="2468"/>
        <w:gridCol w:w="1026"/>
        <w:gridCol w:w="42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tcBorders>
              <w:top w:val="single" w:color="000000" w:sz="8" w:space="0"/>
              <w:left w:val="single" w:color="000000" w:sz="8" w:space="0"/>
              <w:bottom w:val="single" w:color="000000" w:sz="8" w:space="0"/>
              <w:right w:val="single" w:color="000000" w:sz="8" w:space="0"/>
            </w:tcBorders>
            <w:vAlign w:val="center"/>
          </w:tcPr>
          <w:p>
            <w:pPr>
              <w:wordWrap w:val="0"/>
              <w:jc w:val="center"/>
              <w:rPr>
                <w:b/>
                <w:bCs/>
                <w:sz w:val="24"/>
                <w:highlight w:val="none"/>
              </w:rPr>
            </w:pPr>
            <w:r>
              <w:rPr>
                <w:b/>
                <w:bCs/>
                <w:highlight w:val="none"/>
              </w:rPr>
              <w:t>序号</w:t>
            </w:r>
          </w:p>
        </w:tc>
        <w:tc>
          <w:tcPr>
            <w:tcW w:w="4174" w:type="dxa"/>
            <w:gridSpan w:val="3"/>
            <w:tcBorders>
              <w:top w:val="single" w:color="000000" w:sz="8" w:space="0"/>
              <w:left w:val="single" w:color="000000" w:sz="8" w:space="0"/>
              <w:bottom w:val="single" w:color="000000" w:sz="8" w:space="0"/>
              <w:right w:val="single" w:color="000000" w:sz="8" w:space="0"/>
            </w:tcBorders>
            <w:vAlign w:val="center"/>
          </w:tcPr>
          <w:p>
            <w:pPr>
              <w:wordWrap w:val="0"/>
              <w:jc w:val="center"/>
              <w:rPr>
                <w:b/>
                <w:bCs/>
                <w:sz w:val="24"/>
                <w:highlight w:val="none"/>
              </w:rPr>
            </w:pPr>
            <w:r>
              <w:rPr>
                <w:b/>
                <w:bCs/>
                <w:highlight w:val="none"/>
              </w:rPr>
              <w:t>评分项</w:t>
            </w:r>
          </w:p>
        </w:tc>
        <w:tc>
          <w:tcPr>
            <w:tcW w:w="4218" w:type="dxa"/>
            <w:tcBorders>
              <w:top w:val="single" w:color="000000" w:sz="8" w:space="0"/>
              <w:left w:val="single" w:color="000000" w:sz="8" w:space="0"/>
              <w:bottom w:val="single" w:color="000000" w:sz="8" w:space="0"/>
              <w:right w:val="single" w:color="000000" w:sz="8" w:space="0"/>
            </w:tcBorders>
            <w:vAlign w:val="center"/>
          </w:tcPr>
          <w:p>
            <w:pPr>
              <w:wordWrap w:val="0"/>
              <w:jc w:val="center"/>
              <w:rPr>
                <w:b/>
                <w:bCs/>
                <w:sz w:val="24"/>
                <w:highlight w:val="none"/>
              </w:rPr>
            </w:pPr>
            <w:r>
              <w:rPr>
                <w:b/>
                <w:bCs/>
                <w:highlight w:val="none"/>
              </w:rPr>
              <w:t>权重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b/>
                <w:bCs/>
                <w:highlight w:val="none"/>
              </w:rPr>
              <w:t>1</w:t>
            </w:r>
          </w:p>
        </w:tc>
        <w:tc>
          <w:tcPr>
            <w:tcW w:w="4174" w:type="dxa"/>
            <w:gridSpan w:val="3"/>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b/>
                <w:bCs/>
                <w:highlight w:val="none"/>
              </w:rPr>
              <w:t>价格</w:t>
            </w:r>
          </w:p>
        </w:tc>
        <w:tc>
          <w:tcPr>
            <w:tcW w:w="4218" w:type="dxa"/>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b/>
                <w:bCs/>
                <w:highlight w:val="none"/>
              </w:rPr>
              <w:t>30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restart"/>
            <w:tcBorders>
              <w:top w:val="single" w:color="000000" w:sz="8" w:space="0"/>
              <w:left w:val="single" w:color="000000" w:sz="8" w:space="0"/>
              <w:right w:val="single" w:color="000000" w:sz="8" w:space="0"/>
            </w:tcBorders>
          </w:tcPr>
          <w:p>
            <w:pPr>
              <w:wordWrap w:val="0"/>
              <w:jc w:val="center"/>
              <w:rPr>
                <w:b/>
                <w:bCs/>
                <w:sz w:val="24"/>
                <w:highlight w:val="none"/>
              </w:rPr>
            </w:pPr>
            <w:r>
              <w:rPr>
                <w:b/>
                <w:bCs/>
                <w:highlight w:val="none"/>
              </w:rPr>
              <w:t>2</w:t>
            </w:r>
          </w:p>
        </w:tc>
        <w:tc>
          <w:tcPr>
            <w:tcW w:w="4174" w:type="dxa"/>
            <w:gridSpan w:val="3"/>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b/>
                <w:bCs/>
                <w:highlight w:val="none"/>
              </w:rPr>
              <w:t>技术部分</w:t>
            </w:r>
          </w:p>
        </w:tc>
        <w:tc>
          <w:tcPr>
            <w:tcW w:w="4218" w:type="dxa"/>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rFonts w:hint="eastAsia"/>
                <w:b/>
                <w:bCs/>
                <w:highlight w:val="none"/>
              </w:rPr>
              <w:t>45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序号</w:t>
            </w:r>
          </w:p>
        </w:tc>
        <w:tc>
          <w:tcPr>
            <w:tcW w:w="2468"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评分因素</w:t>
            </w:r>
          </w:p>
        </w:tc>
        <w:tc>
          <w:tcPr>
            <w:tcW w:w="1026"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rFonts w:hint="eastAsia"/>
                <w:szCs w:val="21"/>
                <w:highlight w:val="none"/>
              </w:rPr>
              <w:t>分值</w:t>
            </w:r>
          </w:p>
        </w:tc>
        <w:tc>
          <w:tcPr>
            <w:tcW w:w="4218"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bottom w:val="single" w:color="000000" w:sz="8" w:space="0"/>
              <w:right w:val="single" w:color="000000" w:sz="8" w:space="0"/>
            </w:tcBorders>
          </w:tcPr>
          <w:p>
            <w:pPr>
              <w:wordWrap w:val="0"/>
              <w:jc w:val="center"/>
              <w:rPr>
                <w:szCs w:val="21"/>
                <w:highlight w:val="none"/>
              </w:rPr>
            </w:pPr>
            <w:r>
              <w:rPr>
                <w:szCs w:val="21"/>
                <w:highlight w:val="none"/>
              </w:rPr>
              <w:t>1</w:t>
            </w:r>
          </w:p>
        </w:tc>
        <w:tc>
          <w:tcPr>
            <w:tcW w:w="2468" w:type="dxa"/>
            <w:tcBorders>
              <w:top w:val="single" w:color="000000" w:sz="8" w:space="0"/>
              <w:left w:val="single" w:color="000000" w:sz="8" w:space="0"/>
              <w:bottom w:val="single" w:color="000000" w:sz="8" w:space="0"/>
              <w:right w:val="single" w:color="000000" w:sz="8" w:space="0"/>
            </w:tcBorders>
            <w:vAlign w:val="center"/>
          </w:tcPr>
          <w:p>
            <w:pPr>
              <w:spacing w:line="280" w:lineRule="exact"/>
              <w:jc w:val="center"/>
              <w:rPr>
                <w:szCs w:val="21"/>
                <w:highlight w:val="none"/>
              </w:rPr>
            </w:pPr>
            <w:r>
              <w:rPr>
                <w:rFonts w:hint="eastAsia"/>
                <w:sz w:val="22"/>
                <w:highlight w:val="none"/>
              </w:rPr>
              <w:t>总体设计方案评价</w:t>
            </w:r>
          </w:p>
        </w:tc>
        <w:tc>
          <w:tcPr>
            <w:tcW w:w="1026" w:type="dxa"/>
            <w:tcBorders>
              <w:top w:val="single" w:color="000000" w:sz="8" w:space="0"/>
              <w:left w:val="single" w:color="000000" w:sz="8" w:space="0"/>
              <w:bottom w:val="single" w:color="000000" w:sz="8" w:space="0"/>
              <w:right w:val="single" w:color="000000" w:sz="8" w:space="0"/>
            </w:tcBorders>
            <w:vAlign w:val="center"/>
          </w:tcPr>
          <w:p>
            <w:pPr>
              <w:pStyle w:val="40"/>
              <w:ind w:firstLine="210" w:firstLineChars="100"/>
              <w:jc w:val="center"/>
              <w:rPr>
                <w:szCs w:val="21"/>
                <w:highlight w:val="none"/>
              </w:rPr>
            </w:pPr>
            <w:r>
              <w:rPr>
                <w:rFonts w:hint="eastAsia"/>
                <w:sz w:val="21"/>
                <w:szCs w:val="21"/>
                <w:highlight w:val="none"/>
              </w:rPr>
              <w:t>17</w:t>
            </w:r>
          </w:p>
        </w:tc>
        <w:tc>
          <w:tcPr>
            <w:tcW w:w="4218" w:type="dxa"/>
            <w:tcBorders>
              <w:top w:val="single" w:color="000000" w:sz="8" w:space="0"/>
              <w:left w:val="single" w:color="000000" w:sz="8" w:space="0"/>
              <w:bottom w:val="single" w:color="000000" w:sz="8" w:space="0"/>
              <w:right w:val="single" w:color="000000" w:sz="8" w:space="0"/>
            </w:tcBorders>
            <w:vAlign w:val="center"/>
          </w:tcPr>
          <w:p>
            <w:pPr>
              <w:rPr>
                <w:color w:val="FF0000"/>
                <w:szCs w:val="21"/>
                <w:highlight w:val="none"/>
              </w:rPr>
            </w:pPr>
            <w:r>
              <w:rPr>
                <w:rFonts w:hint="eastAsia"/>
                <w:color w:val="FF0000"/>
                <w:highlight w:val="none"/>
              </w:rPr>
              <w:t>投标人需</w:t>
            </w:r>
            <w:r>
              <w:rPr>
                <w:rFonts w:hint="eastAsia"/>
                <w:color w:val="FF0000"/>
                <w:highlight w:val="none"/>
                <w:lang w:eastAsia="zh-CN"/>
              </w:rPr>
              <w:t>根据招标人提供的素材编制</w:t>
            </w:r>
            <w:r>
              <w:rPr>
                <w:rFonts w:hint="eastAsia"/>
                <w:color w:val="FF0000"/>
                <w:highlight w:val="none"/>
              </w:rPr>
              <w:t>完整的策划设计方案，内容包括：</w:t>
            </w:r>
            <w:r>
              <w:rPr>
                <w:rFonts w:hint="eastAsia"/>
                <w:color w:val="FF0000"/>
                <w:szCs w:val="21"/>
                <w:highlight w:val="none"/>
              </w:rPr>
              <w:t>投标人对展示内容主题、策展方向、设计思路把握准确、规划合理、实施可行，设计效果新颖创新，交互性强；根据方案的具体、详细、可行等方面进行横向对比评分。</w:t>
            </w:r>
          </w:p>
          <w:p>
            <w:pPr>
              <w:jc w:val="left"/>
              <w:rPr>
                <w:highlight w:val="none"/>
              </w:rPr>
            </w:pPr>
            <w:r>
              <w:rPr>
                <w:rFonts w:hint="eastAsia"/>
                <w:highlight w:val="none"/>
              </w:rPr>
              <w:t>方案具体、详细、可行，能很好地满足以上要求得17分；</w:t>
            </w:r>
          </w:p>
          <w:p>
            <w:pPr>
              <w:jc w:val="left"/>
              <w:rPr>
                <w:highlight w:val="none"/>
              </w:rPr>
            </w:pPr>
            <w:r>
              <w:rPr>
                <w:rFonts w:hint="eastAsia"/>
                <w:highlight w:val="none"/>
              </w:rPr>
              <w:t>方案相对具体、详细、可行，能较好地满足以上要求得9分；</w:t>
            </w:r>
          </w:p>
          <w:p>
            <w:pPr>
              <w:jc w:val="left"/>
              <w:rPr>
                <w:highlight w:val="none"/>
              </w:rPr>
            </w:pPr>
            <w:r>
              <w:rPr>
                <w:rFonts w:hint="eastAsia"/>
                <w:highlight w:val="none"/>
              </w:rPr>
              <w:t>方案能基本满足以上要求得4分；</w:t>
            </w:r>
          </w:p>
          <w:p>
            <w:pPr>
              <w:jc w:val="left"/>
              <w:rPr>
                <w:highlight w:val="none"/>
              </w:rPr>
            </w:pPr>
            <w:r>
              <w:rPr>
                <w:rFonts w:hint="eastAsia"/>
                <w:highlight w:val="none"/>
              </w:rPr>
              <w:t>方案不能满足以上要求的不得分。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bottom w:val="single" w:color="000000" w:sz="8" w:space="0"/>
              <w:right w:val="single" w:color="000000" w:sz="8" w:space="0"/>
            </w:tcBorders>
          </w:tcPr>
          <w:p>
            <w:pPr>
              <w:wordWrap w:val="0"/>
              <w:jc w:val="center"/>
              <w:rPr>
                <w:szCs w:val="21"/>
                <w:highlight w:val="none"/>
              </w:rPr>
            </w:pPr>
            <w:r>
              <w:rPr>
                <w:szCs w:val="21"/>
                <w:highlight w:val="none"/>
              </w:rPr>
              <w:t>2</w:t>
            </w:r>
          </w:p>
        </w:tc>
        <w:tc>
          <w:tcPr>
            <w:tcW w:w="2468" w:type="dxa"/>
            <w:tcBorders>
              <w:top w:val="single" w:color="000000" w:sz="8" w:space="0"/>
              <w:left w:val="single" w:color="000000" w:sz="8" w:space="0"/>
              <w:bottom w:val="single" w:color="000000" w:sz="8" w:space="0"/>
              <w:right w:val="single" w:color="000000" w:sz="8" w:space="0"/>
            </w:tcBorders>
            <w:vAlign w:val="center"/>
          </w:tcPr>
          <w:p>
            <w:pPr>
              <w:spacing w:line="280" w:lineRule="exact"/>
              <w:jc w:val="center"/>
              <w:rPr>
                <w:color w:val="000000" w:themeColor="text1"/>
                <w:szCs w:val="21"/>
                <w:highlight w:val="none"/>
              </w:rPr>
            </w:pPr>
            <w:r>
              <w:rPr>
                <w:rFonts w:hint="eastAsia"/>
                <w:highlight w:val="none"/>
              </w:rPr>
              <w:t>软件程序深化方案</w:t>
            </w:r>
          </w:p>
        </w:tc>
        <w:tc>
          <w:tcPr>
            <w:tcW w:w="1026" w:type="dxa"/>
            <w:tcBorders>
              <w:top w:val="single" w:color="000000" w:sz="8" w:space="0"/>
              <w:left w:val="single" w:color="000000" w:sz="8" w:space="0"/>
              <w:bottom w:val="single" w:color="000000" w:sz="8" w:space="0"/>
              <w:right w:val="single" w:color="000000" w:sz="8" w:space="0"/>
            </w:tcBorders>
            <w:vAlign w:val="center"/>
          </w:tcPr>
          <w:p>
            <w:pPr>
              <w:pStyle w:val="40"/>
              <w:ind w:firstLine="420" w:firstLineChars="200"/>
              <w:rPr>
                <w:color w:val="000000" w:themeColor="text1"/>
                <w:szCs w:val="21"/>
                <w:highlight w:val="none"/>
              </w:rPr>
            </w:pPr>
            <w:r>
              <w:rPr>
                <w:rFonts w:hint="eastAsia"/>
                <w:sz w:val="21"/>
                <w:szCs w:val="21"/>
                <w:highlight w:val="none"/>
              </w:rPr>
              <w:t>8</w:t>
            </w:r>
          </w:p>
        </w:tc>
        <w:tc>
          <w:tcPr>
            <w:tcW w:w="4218" w:type="dxa"/>
            <w:tcBorders>
              <w:top w:val="single" w:color="000000" w:sz="8" w:space="0"/>
              <w:left w:val="single" w:color="000000" w:sz="8" w:space="0"/>
              <w:bottom w:val="single" w:color="000000" w:sz="8" w:space="0"/>
              <w:right w:val="single" w:color="000000" w:sz="8" w:space="0"/>
            </w:tcBorders>
            <w:vAlign w:val="center"/>
          </w:tcPr>
          <w:p>
            <w:pPr>
              <w:jc w:val="left"/>
              <w:rPr>
                <w:highlight w:val="none"/>
              </w:rPr>
            </w:pPr>
            <w:r>
              <w:rPr>
                <w:rFonts w:hint="eastAsia"/>
                <w:highlight w:val="none"/>
              </w:rPr>
              <w:t>定制化滑轨系统、中控软件等配套软件系统需出详细深化方案，根据方案的科学性、合理性、可行性进行综合评审。</w:t>
            </w:r>
          </w:p>
          <w:p>
            <w:pPr>
              <w:jc w:val="left"/>
              <w:rPr>
                <w:highlight w:val="none"/>
              </w:rPr>
            </w:pPr>
            <w:r>
              <w:rPr>
                <w:rFonts w:hint="eastAsia"/>
                <w:highlight w:val="none"/>
              </w:rPr>
              <w:t>方案具体、详细、可行，能很好地满足以上要求得8分；</w:t>
            </w:r>
          </w:p>
          <w:p>
            <w:pPr>
              <w:jc w:val="left"/>
              <w:rPr>
                <w:highlight w:val="none"/>
              </w:rPr>
            </w:pPr>
            <w:r>
              <w:rPr>
                <w:rFonts w:hint="eastAsia"/>
                <w:highlight w:val="none"/>
              </w:rPr>
              <w:t>方案相对具体、详细、可行，能较好地满足以上要求得4分；</w:t>
            </w:r>
          </w:p>
          <w:p>
            <w:pPr>
              <w:jc w:val="left"/>
              <w:rPr>
                <w:highlight w:val="none"/>
              </w:rPr>
            </w:pPr>
            <w:r>
              <w:rPr>
                <w:rFonts w:hint="eastAsia"/>
                <w:highlight w:val="none"/>
              </w:rPr>
              <w:t>方案能基本满足以上要求得1分；</w:t>
            </w:r>
          </w:p>
          <w:p>
            <w:pPr>
              <w:jc w:val="left"/>
              <w:rPr>
                <w:color w:val="000000" w:themeColor="text1"/>
                <w:szCs w:val="21"/>
                <w:highlight w:val="none"/>
              </w:rPr>
            </w:pPr>
            <w:r>
              <w:rPr>
                <w:rFonts w:hint="eastAsia"/>
                <w:highlight w:val="none"/>
              </w:rPr>
              <w:t>方案不能满足以上要求的不得分。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rPr>
          <w:trHeight w:val="481" w:hRule="atLeast"/>
        </w:trPr>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bottom w:val="single" w:color="000000" w:sz="8" w:space="0"/>
              <w:right w:val="single" w:color="000000" w:sz="8" w:space="0"/>
            </w:tcBorders>
          </w:tcPr>
          <w:p>
            <w:pPr>
              <w:wordWrap w:val="0"/>
              <w:jc w:val="center"/>
              <w:rPr>
                <w:szCs w:val="21"/>
                <w:highlight w:val="none"/>
              </w:rPr>
            </w:pPr>
            <w:r>
              <w:rPr>
                <w:rFonts w:hint="eastAsia"/>
                <w:szCs w:val="21"/>
                <w:highlight w:val="none"/>
              </w:rPr>
              <w:t>3</w:t>
            </w:r>
          </w:p>
        </w:tc>
        <w:tc>
          <w:tcPr>
            <w:tcW w:w="2468" w:type="dxa"/>
            <w:tcBorders>
              <w:top w:val="single" w:color="000000" w:sz="8" w:space="0"/>
              <w:left w:val="single" w:color="000000" w:sz="8" w:space="0"/>
              <w:bottom w:val="single" w:color="000000" w:sz="8" w:space="0"/>
              <w:right w:val="single" w:color="000000" w:sz="8" w:space="0"/>
            </w:tcBorders>
            <w:vAlign w:val="center"/>
          </w:tcPr>
          <w:p>
            <w:pPr>
              <w:spacing w:line="280" w:lineRule="exact"/>
              <w:jc w:val="center"/>
              <w:rPr>
                <w:color w:val="000000" w:themeColor="text1"/>
                <w:highlight w:val="none"/>
              </w:rPr>
            </w:pPr>
            <w:r>
              <w:rPr>
                <w:rFonts w:hint="eastAsia"/>
                <w:sz w:val="22"/>
                <w:highlight w:val="none"/>
              </w:rPr>
              <w:t>施工组织方案</w:t>
            </w:r>
          </w:p>
        </w:tc>
        <w:tc>
          <w:tcPr>
            <w:tcW w:w="1026" w:type="dxa"/>
            <w:tcBorders>
              <w:top w:val="single" w:color="000000" w:sz="8" w:space="0"/>
              <w:left w:val="single" w:color="000000" w:sz="8" w:space="0"/>
              <w:bottom w:val="single" w:color="000000" w:sz="8" w:space="0"/>
              <w:right w:val="single" w:color="000000" w:sz="8" w:space="0"/>
            </w:tcBorders>
            <w:vAlign w:val="center"/>
          </w:tcPr>
          <w:p>
            <w:pPr>
              <w:pStyle w:val="40"/>
              <w:ind w:firstLine="420" w:firstLineChars="200"/>
              <w:rPr>
                <w:color w:val="000000" w:themeColor="text1"/>
                <w:szCs w:val="21"/>
                <w:highlight w:val="none"/>
              </w:rPr>
            </w:pPr>
            <w:r>
              <w:rPr>
                <w:rFonts w:hint="eastAsia"/>
                <w:sz w:val="21"/>
                <w:szCs w:val="21"/>
                <w:highlight w:val="none"/>
              </w:rPr>
              <w:t>8</w:t>
            </w:r>
          </w:p>
        </w:tc>
        <w:tc>
          <w:tcPr>
            <w:tcW w:w="4218" w:type="dxa"/>
            <w:tcBorders>
              <w:top w:val="single" w:color="000000" w:sz="8" w:space="0"/>
              <w:left w:val="single" w:color="000000" w:sz="8" w:space="0"/>
              <w:bottom w:val="single" w:color="000000" w:sz="8" w:space="0"/>
              <w:right w:val="single" w:color="000000" w:sz="8" w:space="0"/>
            </w:tcBorders>
            <w:vAlign w:val="center"/>
          </w:tcPr>
          <w:p>
            <w:pPr>
              <w:ind w:firstLine="0" w:firstLineChars="0"/>
              <w:jc w:val="left"/>
              <w:rPr>
                <w:highlight w:val="none"/>
              </w:rPr>
            </w:pPr>
            <w:r>
              <w:rPr>
                <w:rFonts w:hint="eastAsia"/>
                <w:highlight w:val="none"/>
              </w:rPr>
              <w:t>根据投标人提供安装调试计划方案的科学性、合理性，施工组织进度计划的科学合理、可行性等进行综合评审</w:t>
            </w:r>
          </w:p>
          <w:p>
            <w:pPr>
              <w:jc w:val="left"/>
              <w:rPr>
                <w:highlight w:val="none"/>
              </w:rPr>
            </w:pPr>
            <w:r>
              <w:rPr>
                <w:rFonts w:hint="eastAsia"/>
                <w:highlight w:val="none"/>
              </w:rPr>
              <w:t>方案具体、详细、可行，能很好地满足以上要求得8分；</w:t>
            </w:r>
          </w:p>
          <w:p>
            <w:pPr>
              <w:jc w:val="left"/>
              <w:rPr>
                <w:highlight w:val="none"/>
              </w:rPr>
            </w:pPr>
            <w:r>
              <w:rPr>
                <w:rFonts w:hint="eastAsia"/>
                <w:highlight w:val="none"/>
              </w:rPr>
              <w:t>方案相对具体、详细、可行，能较好地满足以上要求得4分；</w:t>
            </w:r>
          </w:p>
          <w:p>
            <w:pPr>
              <w:jc w:val="left"/>
              <w:rPr>
                <w:highlight w:val="none"/>
              </w:rPr>
            </w:pPr>
            <w:r>
              <w:rPr>
                <w:rFonts w:hint="eastAsia"/>
                <w:highlight w:val="none"/>
              </w:rPr>
              <w:t>方案能基本满足以上要求得1分；</w:t>
            </w:r>
          </w:p>
          <w:p>
            <w:pPr>
              <w:jc w:val="left"/>
              <w:rPr>
                <w:szCs w:val="21"/>
                <w:highlight w:val="none"/>
              </w:rPr>
            </w:pPr>
            <w:r>
              <w:rPr>
                <w:rFonts w:hint="eastAsia"/>
                <w:highlight w:val="none"/>
              </w:rPr>
              <w:t>方案不能满足以上要求的不得分。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rPr>
          <w:trHeight w:val="481" w:hRule="atLeast"/>
        </w:trPr>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bottom w:val="single" w:color="000000" w:sz="8" w:space="0"/>
              <w:right w:val="single" w:color="000000" w:sz="8" w:space="0"/>
            </w:tcBorders>
          </w:tcPr>
          <w:p>
            <w:pPr>
              <w:wordWrap w:val="0"/>
              <w:jc w:val="center"/>
              <w:rPr>
                <w:szCs w:val="21"/>
                <w:highlight w:val="none"/>
              </w:rPr>
            </w:pPr>
            <w:r>
              <w:rPr>
                <w:rFonts w:hint="eastAsia"/>
                <w:szCs w:val="21"/>
                <w:highlight w:val="none"/>
              </w:rPr>
              <w:t>4</w:t>
            </w:r>
          </w:p>
        </w:tc>
        <w:tc>
          <w:tcPr>
            <w:tcW w:w="2468" w:type="dxa"/>
            <w:tcBorders>
              <w:top w:val="single" w:color="000000" w:sz="8" w:space="0"/>
              <w:left w:val="single" w:color="000000" w:sz="8" w:space="0"/>
              <w:bottom w:val="single" w:color="000000" w:sz="8" w:space="0"/>
              <w:right w:val="single" w:color="000000" w:sz="8" w:space="0"/>
            </w:tcBorders>
            <w:vAlign w:val="center"/>
          </w:tcPr>
          <w:p>
            <w:pPr>
              <w:spacing w:line="280" w:lineRule="exact"/>
              <w:jc w:val="center"/>
              <w:rPr>
                <w:sz w:val="22"/>
                <w:highlight w:val="none"/>
              </w:rPr>
            </w:pPr>
            <w:r>
              <w:rPr>
                <w:szCs w:val="21"/>
                <w:highlight w:val="none"/>
              </w:rPr>
              <w:t>投标人</w:t>
            </w:r>
            <w:r>
              <w:rPr>
                <w:rFonts w:hint="eastAsia"/>
                <w:szCs w:val="21"/>
                <w:highlight w:val="none"/>
              </w:rPr>
              <w:t>技术文件资质证明</w:t>
            </w:r>
          </w:p>
        </w:tc>
        <w:tc>
          <w:tcPr>
            <w:tcW w:w="1026" w:type="dxa"/>
            <w:tcBorders>
              <w:top w:val="single" w:color="000000" w:sz="8" w:space="0"/>
              <w:left w:val="single" w:color="000000" w:sz="8" w:space="0"/>
              <w:bottom w:val="single" w:color="000000" w:sz="8" w:space="0"/>
              <w:right w:val="single" w:color="000000" w:sz="8" w:space="0"/>
            </w:tcBorders>
            <w:vAlign w:val="center"/>
          </w:tcPr>
          <w:p>
            <w:pPr>
              <w:pStyle w:val="40"/>
              <w:ind w:firstLine="210" w:firstLineChars="100"/>
              <w:rPr>
                <w:sz w:val="21"/>
                <w:szCs w:val="21"/>
                <w:highlight w:val="none"/>
              </w:rPr>
            </w:pPr>
            <w:r>
              <w:rPr>
                <w:rFonts w:hint="eastAsia"/>
                <w:sz w:val="21"/>
                <w:szCs w:val="21"/>
                <w:highlight w:val="none"/>
              </w:rPr>
              <w:t>9</w:t>
            </w:r>
          </w:p>
        </w:tc>
        <w:tc>
          <w:tcPr>
            <w:tcW w:w="4218" w:type="dxa"/>
            <w:tcBorders>
              <w:top w:val="single" w:color="000000" w:sz="8" w:space="0"/>
              <w:left w:val="single" w:color="000000" w:sz="8" w:space="0"/>
              <w:bottom w:val="single" w:color="000000" w:sz="8" w:space="0"/>
              <w:right w:val="single" w:color="000000" w:sz="8" w:space="0"/>
            </w:tcBorders>
            <w:vAlign w:val="center"/>
          </w:tcPr>
          <w:p>
            <w:pPr>
              <w:jc w:val="left"/>
              <w:rPr>
                <w:highlight w:val="none"/>
              </w:rPr>
            </w:pPr>
            <w:r>
              <w:rPr>
                <w:rFonts w:hint="eastAsia"/>
                <w:highlight w:val="none"/>
              </w:rPr>
              <w:t>为保证项目顺利实施，投标单位需根据技术要求提供资质证明文件：软件需要厂家软件著作权或者相关软件产品登记测试报告等相关资质每项可得3分，没有不得分。此项9分封顶</w:t>
            </w:r>
          </w:p>
          <w:p>
            <w:pPr>
              <w:jc w:val="left"/>
              <w:rPr>
                <w:highlight w:val="none"/>
              </w:rPr>
            </w:pPr>
            <w:r>
              <w:rPr>
                <w:rFonts w:hint="eastAsia"/>
                <w:b/>
                <w:highlight w:val="none"/>
              </w:rPr>
              <w:t>（须提供生产厂家相关资质文件复印件并加公章，原件备查）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rPr>
          <w:trHeight w:val="836" w:hRule="atLeast"/>
        </w:trPr>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right w:val="single" w:color="000000" w:sz="8" w:space="0"/>
            </w:tcBorders>
          </w:tcPr>
          <w:p>
            <w:pPr>
              <w:wordWrap w:val="0"/>
              <w:jc w:val="center"/>
              <w:rPr>
                <w:szCs w:val="21"/>
                <w:highlight w:val="none"/>
              </w:rPr>
            </w:pPr>
            <w:r>
              <w:rPr>
                <w:rFonts w:hint="eastAsia"/>
                <w:szCs w:val="21"/>
                <w:highlight w:val="none"/>
              </w:rPr>
              <w:t>5</w:t>
            </w:r>
          </w:p>
        </w:tc>
        <w:tc>
          <w:tcPr>
            <w:tcW w:w="2468" w:type="dxa"/>
            <w:tcBorders>
              <w:top w:val="single" w:color="000000" w:sz="8" w:space="0"/>
              <w:left w:val="single" w:color="000000" w:sz="8" w:space="0"/>
              <w:right w:val="single" w:color="000000" w:sz="8" w:space="0"/>
            </w:tcBorders>
          </w:tcPr>
          <w:p>
            <w:pPr>
              <w:wordWrap w:val="0"/>
              <w:jc w:val="center"/>
              <w:rPr>
                <w:szCs w:val="21"/>
                <w:highlight w:val="none"/>
              </w:rPr>
            </w:pPr>
            <w:r>
              <w:rPr>
                <w:szCs w:val="21"/>
                <w:highlight w:val="none"/>
              </w:rPr>
              <w:t>扶持小微企业产品</w:t>
            </w:r>
          </w:p>
        </w:tc>
        <w:tc>
          <w:tcPr>
            <w:tcW w:w="1026" w:type="dxa"/>
            <w:tcBorders>
              <w:top w:val="single" w:color="000000" w:sz="8" w:space="0"/>
              <w:left w:val="single" w:color="000000" w:sz="8" w:space="0"/>
              <w:right w:val="single" w:color="000000" w:sz="8" w:space="0"/>
            </w:tcBorders>
          </w:tcPr>
          <w:p>
            <w:pPr>
              <w:wordWrap w:val="0"/>
              <w:jc w:val="center"/>
              <w:rPr>
                <w:szCs w:val="21"/>
                <w:highlight w:val="none"/>
              </w:rPr>
            </w:pPr>
            <w:r>
              <w:rPr>
                <w:szCs w:val="21"/>
                <w:highlight w:val="none"/>
              </w:rPr>
              <w:t>3</w:t>
            </w:r>
          </w:p>
          <w:p>
            <w:pPr>
              <w:wordWrap w:val="0"/>
              <w:jc w:val="center"/>
              <w:rPr>
                <w:szCs w:val="21"/>
                <w:highlight w:val="none"/>
              </w:rPr>
            </w:pPr>
          </w:p>
        </w:tc>
        <w:tc>
          <w:tcPr>
            <w:tcW w:w="4218" w:type="dxa"/>
            <w:tcBorders>
              <w:top w:val="single" w:color="000000" w:sz="8" w:space="0"/>
              <w:left w:val="single" w:color="000000" w:sz="8" w:space="0"/>
              <w:right w:val="single" w:color="000000" w:sz="8" w:space="0"/>
            </w:tcBorders>
          </w:tcPr>
          <w:p>
            <w:pPr>
              <w:wordWrap w:val="0"/>
              <w:rPr>
                <w:szCs w:val="21"/>
                <w:highlight w:val="none"/>
              </w:rPr>
            </w:pPr>
            <w:r>
              <w:rPr>
                <w:szCs w:val="21"/>
                <w:highlight w:val="none"/>
              </w:rPr>
              <w:t>1、投标人为小型或微型企业，且提供本企业制造的货物、承担的工程或者服务的得</w:t>
            </w:r>
            <w:r>
              <w:rPr>
                <w:rFonts w:hint="eastAsia"/>
                <w:szCs w:val="21"/>
                <w:highlight w:val="none"/>
              </w:rPr>
              <w:t>3</w:t>
            </w:r>
            <w:r>
              <w:rPr>
                <w:szCs w:val="21"/>
                <w:highlight w:val="none"/>
              </w:rPr>
              <w:t>分；2、投标人提供其他小型或微型企业制造货物的得</w:t>
            </w:r>
            <w:r>
              <w:rPr>
                <w:rFonts w:hint="eastAsia"/>
                <w:szCs w:val="21"/>
                <w:highlight w:val="none"/>
              </w:rPr>
              <w:t>3</w:t>
            </w:r>
            <w:r>
              <w:rPr>
                <w:szCs w:val="21"/>
                <w:highlight w:val="none"/>
              </w:rPr>
              <w:t>分。</w:t>
            </w:r>
          </w:p>
          <w:p>
            <w:pPr>
              <w:wordWrap w:val="0"/>
              <w:rPr>
                <w:szCs w:val="21"/>
                <w:highlight w:val="none"/>
              </w:rPr>
            </w:pPr>
            <w:r>
              <w:rPr>
                <w:szCs w:val="21"/>
                <w:highlight w:val="none"/>
              </w:rPr>
              <w:t>以提供《中小企业声明函》内容为准，</w:t>
            </w:r>
            <w:r>
              <w:rPr>
                <w:rFonts w:hint="eastAsia"/>
                <w:szCs w:val="21"/>
                <w:highlight w:val="none"/>
              </w:rPr>
              <w:t>最高得3分，</w:t>
            </w:r>
            <w:r>
              <w:rPr>
                <w:szCs w:val="21"/>
                <w:highlight w:val="none"/>
              </w:rPr>
              <w:t>未提供的或提供内容不符合招标文件要求的得0分。（提供加盖投标人公章的声明函</w:t>
            </w:r>
            <w:r>
              <w:rPr>
                <w:rFonts w:hint="eastAsia"/>
                <w:szCs w:val="21"/>
                <w:highlight w:val="none"/>
              </w:rPr>
              <w:t>复印</w:t>
            </w:r>
            <w:r>
              <w:rPr>
                <w:szCs w:val="21"/>
                <w:highlight w:val="none"/>
              </w:rPr>
              <w:t>件，原件备查）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restart"/>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b/>
                <w:bCs/>
                <w:highlight w:val="none"/>
              </w:rPr>
              <w:t>3</w:t>
            </w:r>
          </w:p>
        </w:tc>
        <w:tc>
          <w:tcPr>
            <w:tcW w:w="4174" w:type="dxa"/>
            <w:gridSpan w:val="3"/>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rFonts w:hint="eastAsia"/>
                <w:b/>
                <w:bCs/>
                <w:highlight w:val="none"/>
              </w:rPr>
              <w:t>商务</w:t>
            </w:r>
            <w:r>
              <w:rPr>
                <w:b/>
                <w:bCs/>
                <w:highlight w:val="none"/>
              </w:rPr>
              <w:t>部分</w:t>
            </w:r>
          </w:p>
        </w:tc>
        <w:tc>
          <w:tcPr>
            <w:tcW w:w="4218" w:type="dxa"/>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rFonts w:hint="eastAsia"/>
                <w:b/>
                <w:bCs/>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continue"/>
            <w:tcBorders>
              <w:top w:val="single" w:color="000000" w:sz="8" w:space="0"/>
              <w:left w:val="single" w:color="000000" w:sz="8" w:space="0"/>
              <w:bottom w:val="single" w:color="000000" w:sz="8" w:space="0"/>
              <w:right w:val="single" w:color="000000" w:sz="8" w:space="0"/>
            </w:tcBorders>
            <w:vAlign w:val="center"/>
          </w:tcPr>
          <w:p>
            <w:pPr>
              <w:rPr>
                <w:b/>
                <w:bCs/>
                <w:sz w:val="24"/>
                <w:highlight w:val="none"/>
              </w:rPr>
            </w:pPr>
          </w:p>
        </w:tc>
        <w:tc>
          <w:tcPr>
            <w:tcW w:w="680"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序号</w:t>
            </w:r>
          </w:p>
        </w:tc>
        <w:tc>
          <w:tcPr>
            <w:tcW w:w="2468"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评分因素</w:t>
            </w:r>
          </w:p>
        </w:tc>
        <w:tc>
          <w:tcPr>
            <w:tcW w:w="1026"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rFonts w:hint="eastAsia"/>
                <w:szCs w:val="21"/>
                <w:highlight w:val="none"/>
              </w:rPr>
              <w:t>分值</w:t>
            </w:r>
          </w:p>
        </w:tc>
        <w:tc>
          <w:tcPr>
            <w:tcW w:w="4218"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continue"/>
            <w:tcBorders>
              <w:top w:val="single" w:color="000000" w:sz="8" w:space="0"/>
              <w:left w:val="single" w:color="000000" w:sz="8" w:space="0"/>
              <w:bottom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bottom w:val="single" w:color="000000" w:sz="8" w:space="0"/>
              <w:right w:val="single" w:color="000000" w:sz="8" w:space="0"/>
            </w:tcBorders>
          </w:tcPr>
          <w:p>
            <w:pPr>
              <w:wordWrap w:val="0"/>
              <w:jc w:val="center"/>
              <w:rPr>
                <w:szCs w:val="21"/>
                <w:highlight w:val="none"/>
              </w:rPr>
            </w:pPr>
            <w:r>
              <w:rPr>
                <w:szCs w:val="21"/>
                <w:highlight w:val="none"/>
              </w:rPr>
              <w:t>1</w:t>
            </w:r>
          </w:p>
        </w:tc>
        <w:tc>
          <w:tcPr>
            <w:tcW w:w="2468" w:type="dxa"/>
            <w:tcBorders>
              <w:top w:val="single" w:color="000000" w:sz="8" w:space="0"/>
              <w:left w:val="single" w:color="000000" w:sz="8" w:space="0"/>
              <w:bottom w:val="single" w:color="000000" w:sz="8" w:space="0"/>
              <w:right w:val="single" w:color="000000" w:sz="8" w:space="0"/>
            </w:tcBorders>
            <w:vAlign w:val="center"/>
          </w:tcPr>
          <w:p>
            <w:pPr>
              <w:spacing w:line="280" w:lineRule="exact"/>
              <w:jc w:val="center"/>
              <w:rPr>
                <w:szCs w:val="21"/>
                <w:highlight w:val="none"/>
              </w:rPr>
            </w:pPr>
          </w:p>
          <w:p>
            <w:pPr>
              <w:spacing w:line="280" w:lineRule="exact"/>
              <w:jc w:val="center"/>
              <w:rPr>
                <w:szCs w:val="21"/>
                <w:highlight w:val="none"/>
              </w:rPr>
            </w:pPr>
            <w:r>
              <w:rPr>
                <w:rFonts w:hint="eastAsia"/>
                <w:szCs w:val="21"/>
                <w:highlight w:val="none"/>
              </w:rPr>
              <w:t>业绩</w:t>
            </w:r>
          </w:p>
          <w:p>
            <w:pPr>
              <w:spacing w:line="280" w:lineRule="exact"/>
              <w:jc w:val="center"/>
              <w:rPr>
                <w:szCs w:val="21"/>
                <w:highlight w:val="none"/>
              </w:rPr>
            </w:pPr>
          </w:p>
        </w:tc>
        <w:tc>
          <w:tcPr>
            <w:tcW w:w="1026" w:type="dxa"/>
            <w:tcBorders>
              <w:top w:val="single" w:color="000000" w:sz="8" w:space="0"/>
              <w:left w:val="single" w:color="000000" w:sz="8" w:space="0"/>
              <w:bottom w:val="single" w:color="000000" w:sz="8" w:space="0"/>
              <w:right w:val="single" w:color="000000" w:sz="8" w:space="0"/>
            </w:tcBorders>
            <w:vAlign w:val="center"/>
          </w:tcPr>
          <w:p>
            <w:pPr>
              <w:spacing w:line="280" w:lineRule="exact"/>
              <w:ind w:firstLine="210" w:firstLineChars="100"/>
              <w:rPr>
                <w:szCs w:val="21"/>
                <w:highlight w:val="none"/>
              </w:rPr>
            </w:pPr>
            <w:r>
              <w:rPr>
                <w:rFonts w:hint="eastAsia"/>
                <w:szCs w:val="21"/>
                <w:highlight w:val="none"/>
              </w:rPr>
              <w:t>14分</w:t>
            </w:r>
          </w:p>
        </w:tc>
        <w:tc>
          <w:tcPr>
            <w:tcW w:w="4218" w:type="dxa"/>
            <w:tcBorders>
              <w:top w:val="single" w:color="000000" w:sz="8" w:space="0"/>
              <w:left w:val="single" w:color="000000" w:sz="8" w:space="0"/>
              <w:bottom w:val="single" w:color="000000" w:sz="8" w:space="0"/>
              <w:right w:val="single" w:color="000000" w:sz="8" w:space="0"/>
            </w:tcBorders>
            <w:vAlign w:val="center"/>
          </w:tcPr>
          <w:p>
            <w:pPr>
              <w:rPr>
                <w:szCs w:val="21"/>
                <w:highlight w:val="none"/>
              </w:rPr>
            </w:pPr>
            <w:r>
              <w:rPr>
                <w:rFonts w:hint="eastAsia"/>
                <w:szCs w:val="21"/>
                <w:highlight w:val="none"/>
              </w:rPr>
              <w:t>投标人具有承接多媒体展厅装修、改造、升级的类似工作经验</w:t>
            </w:r>
          </w:p>
          <w:p>
            <w:pPr>
              <w:tabs>
                <w:tab w:val="left" w:pos="851"/>
                <w:tab w:val="left" w:pos="1135"/>
                <w:tab w:val="clear" w:pos="426"/>
              </w:tabs>
              <w:spacing w:before="120" w:after="120"/>
              <w:outlineLvl w:val="1"/>
              <w:rPr>
                <w:szCs w:val="21"/>
                <w:highlight w:val="none"/>
              </w:rPr>
            </w:pPr>
            <w:bookmarkStart w:id="31" w:name="_Toc28102"/>
            <w:r>
              <w:rPr>
                <w:rFonts w:hint="eastAsia"/>
                <w:szCs w:val="21"/>
                <w:highlight w:val="none"/>
              </w:rPr>
              <w:t>投标人自2016年1月1日至今（以合同签订时间为准）同类型多媒体数字展厅项目业绩（单个合同金额不得低于此项目招标总金额）。每个业绩得2分，最高得14分。</w:t>
            </w:r>
            <w:bookmarkEnd w:id="31"/>
          </w:p>
          <w:p>
            <w:pPr>
              <w:rPr>
                <w:szCs w:val="21"/>
                <w:highlight w:val="none"/>
              </w:rPr>
            </w:pPr>
            <w:r>
              <w:rPr>
                <w:rFonts w:hint="eastAsia"/>
                <w:szCs w:val="21"/>
                <w:highlight w:val="none"/>
              </w:rPr>
              <w:t>（提供合同复印件并加盖投标人公章）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continue"/>
            <w:tcBorders>
              <w:top w:val="single" w:color="000000" w:sz="8" w:space="0"/>
              <w:left w:val="single" w:color="000000" w:sz="8" w:space="0"/>
              <w:bottom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bottom w:val="single" w:color="000000" w:sz="8" w:space="0"/>
              <w:right w:val="single" w:color="000000" w:sz="8" w:space="0"/>
            </w:tcBorders>
          </w:tcPr>
          <w:p>
            <w:pPr>
              <w:wordWrap w:val="0"/>
              <w:jc w:val="center"/>
              <w:rPr>
                <w:szCs w:val="21"/>
                <w:highlight w:val="none"/>
              </w:rPr>
            </w:pPr>
            <w:r>
              <w:rPr>
                <w:szCs w:val="21"/>
                <w:highlight w:val="none"/>
              </w:rPr>
              <w:t>2</w:t>
            </w:r>
          </w:p>
        </w:tc>
        <w:tc>
          <w:tcPr>
            <w:tcW w:w="2468" w:type="dxa"/>
            <w:tcBorders>
              <w:top w:val="single" w:color="000000" w:sz="8" w:space="0"/>
              <w:left w:val="single" w:color="000000" w:sz="8" w:space="0"/>
              <w:bottom w:val="single" w:color="000000" w:sz="8" w:space="0"/>
              <w:right w:val="single" w:color="000000" w:sz="8" w:space="0"/>
            </w:tcBorders>
            <w:vAlign w:val="center"/>
          </w:tcPr>
          <w:p>
            <w:pPr>
              <w:spacing w:line="280" w:lineRule="exact"/>
              <w:jc w:val="center"/>
              <w:rPr>
                <w:szCs w:val="21"/>
                <w:highlight w:val="none"/>
              </w:rPr>
            </w:pPr>
            <w:r>
              <w:rPr>
                <w:rFonts w:hint="eastAsia"/>
                <w:szCs w:val="21"/>
                <w:highlight w:val="none"/>
              </w:rPr>
              <w:t>服务承诺</w:t>
            </w:r>
          </w:p>
        </w:tc>
        <w:tc>
          <w:tcPr>
            <w:tcW w:w="1026" w:type="dxa"/>
            <w:tcBorders>
              <w:top w:val="single" w:color="000000" w:sz="8" w:space="0"/>
              <w:left w:val="single" w:color="000000" w:sz="8" w:space="0"/>
              <w:bottom w:val="single" w:color="000000" w:sz="8" w:space="0"/>
              <w:right w:val="single" w:color="000000" w:sz="8" w:space="0"/>
            </w:tcBorders>
            <w:vAlign w:val="center"/>
          </w:tcPr>
          <w:p>
            <w:pPr>
              <w:spacing w:line="280" w:lineRule="exact"/>
              <w:ind w:firstLine="210" w:firstLineChars="100"/>
              <w:rPr>
                <w:szCs w:val="21"/>
                <w:highlight w:val="none"/>
              </w:rPr>
            </w:pPr>
            <w:r>
              <w:rPr>
                <w:rFonts w:hint="eastAsia"/>
                <w:szCs w:val="21"/>
                <w:highlight w:val="none"/>
              </w:rPr>
              <w:t>4分</w:t>
            </w:r>
          </w:p>
        </w:tc>
        <w:tc>
          <w:tcPr>
            <w:tcW w:w="4218" w:type="dxa"/>
            <w:tcBorders>
              <w:top w:val="single" w:color="000000" w:sz="8" w:space="0"/>
              <w:left w:val="single" w:color="000000" w:sz="8" w:space="0"/>
              <w:bottom w:val="single" w:color="000000" w:sz="8" w:space="0"/>
              <w:right w:val="single" w:color="000000" w:sz="8" w:space="0"/>
            </w:tcBorders>
            <w:vAlign w:val="center"/>
          </w:tcPr>
          <w:p>
            <w:pPr>
              <w:rPr>
                <w:szCs w:val="21"/>
                <w:highlight w:val="none"/>
              </w:rPr>
            </w:pPr>
            <w:r>
              <w:rPr>
                <w:rFonts w:hint="eastAsia"/>
                <w:szCs w:val="21"/>
                <w:highlight w:val="none"/>
              </w:rPr>
              <w:t>投标人提供完善的售后服务方案，得4分，不提供不得分（售后服务方案须包括：响应时间、质量保证期限及范围等）。</w:t>
            </w:r>
          </w:p>
          <w:p>
            <w:pPr>
              <w:rPr>
                <w:szCs w:val="21"/>
                <w:highlight w:val="none"/>
              </w:rPr>
            </w:pPr>
            <w:r>
              <w:rPr>
                <w:rFonts w:hint="eastAsia"/>
                <w:highlight w:val="none"/>
              </w:rPr>
              <w:t>方案具体、详细、可行得4分；方案相对具体、可行得3分；方案不够具体得1分。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rPr>
          <w:trHeight w:val="811" w:hRule="atLeast"/>
        </w:trPr>
        <w:tc>
          <w:tcPr>
            <w:tcW w:w="680" w:type="dxa"/>
            <w:vMerge w:val="continue"/>
            <w:tcBorders>
              <w:top w:val="single" w:color="000000" w:sz="8" w:space="0"/>
              <w:left w:val="single" w:color="000000" w:sz="8" w:space="0"/>
              <w:bottom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right w:val="single" w:color="000000" w:sz="8" w:space="0"/>
            </w:tcBorders>
          </w:tcPr>
          <w:p>
            <w:pPr>
              <w:wordWrap w:val="0"/>
              <w:jc w:val="center"/>
              <w:rPr>
                <w:szCs w:val="21"/>
                <w:highlight w:val="none"/>
              </w:rPr>
            </w:pPr>
            <w:r>
              <w:rPr>
                <w:rFonts w:hint="eastAsia"/>
                <w:szCs w:val="21"/>
                <w:highlight w:val="none"/>
              </w:rPr>
              <w:t>3</w:t>
            </w:r>
          </w:p>
        </w:tc>
        <w:tc>
          <w:tcPr>
            <w:tcW w:w="2468" w:type="dxa"/>
            <w:tcBorders>
              <w:top w:val="single" w:color="000000" w:sz="8" w:space="0"/>
              <w:left w:val="single" w:color="000000" w:sz="8" w:space="0"/>
              <w:right w:val="single" w:color="000000" w:sz="8" w:space="0"/>
            </w:tcBorders>
            <w:vAlign w:val="center"/>
          </w:tcPr>
          <w:p>
            <w:pPr>
              <w:spacing w:line="280" w:lineRule="exact"/>
              <w:jc w:val="center"/>
              <w:rPr>
                <w:szCs w:val="21"/>
                <w:highlight w:val="none"/>
              </w:rPr>
            </w:pPr>
            <w:r>
              <w:rPr>
                <w:rFonts w:hint="eastAsia"/>
                <w:szCs w:val="21"/>
                <w:highlight w:val="none"/>
              </w:rPr>
              <w:t>企业信誉</w:t>
            </w:r>
          </w:p>
        </w:tc>
        <w:tc>
          <w:tcPr>
            <w:tcW w:w="1026" w:type="dxa"/>
            <w:tcBorders>
              <w:top w:val="single" w:color="000000" w:sz="8" w:space="0"/>
              <w:left w:val="single" w:color="000000" w:sz="8" w:space="0"/>
              <w:right w:val="single" w:color="000000" w:sz="8" w:space="0"/>
            </w:tcBorders>
            <w:vAlign w:val="center"/>
          </w:tcPr>
          <w:p>
            <w:pPr>
              <w:spacing w:line="280" w:lineRule="exact"/>
              <w:ind w:firstLine="210" w:firstLineChars="100"/>
              <w:rPr>
                <w:szCs w:val="21"/>
                <w:highlight w:val="none"/>
              </w:rPr>
            </w:pPr>
            <w:r>
              <w:rPr>
                <w:rFonts w:hint="eastAsia"/>
                <w:szCs w:val="21"/>
                <w:highlight w:val="none"/>
              </w:rPr>
              <w:t>2分</w:t>
            </w:r>
          </w:p>
        </w:tc>
        <w:tc>
          <w:tcPr>
            <w:tcW w:w="4218" w:type="dxa"/>
            <w:tcBorders>
              <w:top w:val="single" w:color="000000" w:sz="8" w:space="0"/>
              <w:left w:val="single" w:color="000000" w:sz="8" w:space="0"/>
              <w:right w:val="single" w:color="000000" w:sz="8" w:space="0"/>
            </w:tcBorders>
            <w:vAlign w:val="center"/>
          </w:tcPr>
          <w:p>
            <w:pPr>
              <w:rPr>
                <w:highlight w:val="none"/>
              </w:rPr>
            </w:pPr>
            <w:r>
              <w:rPr>
                <w:rFonts w:hint="eastAsia"/>
                <w:highlight w:val="none"/>
              </w:rPr>
              <w:t>投标企业为高新技术企业，得2分。</w:t>
            </w:r>
          </w:p>
          <w:p>
            <w:pPr>
              <w:rPr>
                <w:highlight w:val="none"/>
              </w:rPr>
            </w:pPr>
            <w:r>
              <w:rPr>
                <w:rFonts w:hint="eastAsia"/>
                <w:highlight w:val="none"/>
              </w:rPr>
              <w:t>（提供高新技术企业证书复印件并加盖投标人公章）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restart"/>
            <w:tcBorders>
              <w:top w:val="single" w:color="000000" w:sz="8" w:space="0"/>
              <w:left w:val="single" w:color="000000" w:sz="8" w:space="0"/>
              <w:right w:val="single" w:color="000000" w:sz="8" w:space="0"/>
            </w:tcBorders>
          </w:tcPr>
          <w:p>
            <w:pPr>
              <w:wordWrap w:val="0"/>
              <w:jc w:val="center"/>
              <w:rPr>
                <w:b/>
                <w:bCs/>
                <w:sz w:val="24"/>
                <w:highlight w:val="none"/>
              </w:rPr>
            </w:pPr>
            <w:r>
              <w:rPr>
                <w:b/>
                <w:bCs/>
                <w:highlight w:val="none"/>
              </w:rPr>
              <w:t>4</w:t>
            </w:r>
          </w:p>
        </w:tc>
        <w:tc>
          <w:tcPr>
            <w:tcW w:w="4174" w:type="dxa"/>
            <w:gridSpan w:val="3"/>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rFonts w:hint="eastAsia"/>
                <w:b/>
                <w:bCs/>
                <w:highlight w:val="none"/>
              </w:rPr>
              <w:t>综合实力</w:t>
            </w:r>
            <w:r>
              <w:rPr>
                <w:b/>
                <w:bCs/>
                <w:highlight w:val="none"/>
              </w:rPr>
              <w:t>部分</w:t>
            </w:r>
          </w:p>
        </w:tc>
        <w:tc>
          <w:tcPr>
            <w:tcW w:w="4218" w:type="dxa"/>
            <w:tcBorders>
              <w:top w:val="single" w:color="000000" w:sz="8" w:space="0"/>
              <w:left w:val="single" w:color="000000" w:sz="8" w:space="0"/>
              <w:bottom w:val="single" w:color="000000" w:sz="8" w:space="0"/>
              <w:right w:val="single" w:color="000000" w:sz="8" w:space="0"/>
            </w:tcBorders>
          </w:tcPr>
          <w:p>
            <w:pPr>
              <w:wordWrap w:val="0"/>
              <w:jc w:val="center"/>
              <w:rPr>
                <w:b/>
                <w:bCs/>
                <w:sz w:val="24"/>
                <w:highlight w:val="none"/>
              </w:rPr>
            </w:pPr>
            <w:r>
              <w:rPr>
                <w:rFonts w:hint="eastAsia"/>
                <w:b/>
                <w:bCs/>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序号</w:t>
            </w:r>
          </w:p>
        </w:tc>
        <w:tc>
          <w:tcPr>
            <w:tcW w:w="2468"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评分因素</w:t>
            </w:r>
          </w:p>
        </w:tc>
        <w:tc>
          <w:tcPr>
            <w:tcW w:w="1026"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rFonts w:hint="eastAsia"/>
                <w:szCs w:val="21"/>
                <w:highlight w:val="none"/>
              </w:rPr>
              <w:t>分值</w:t>
            </w:r>
          </w:p>
        </w:tc>
        <w:tc>
          <w:tcPr>
            <w:tcW w:w="4218" w:type="dxa"/>
            <w:tcBorders>
              <w:top w:val="outset" w:color="000000" w:sz="6" w:space="0"/>
              <w:left w:val="outset" w:color="000000" w:sz="6" w:space="0"/>
              <w:bottom w:val="outset" w:color="000000" w:sz="6" w:space="0"/>
              <w:right w:val="outset" w:color="000000" w:sz="6" w:space="0"/>
            </w:tcBorders>
            <w:vAlign w:val="center"/>
          </w:tcPr>
          <w:p>
            <w:pPr>
              <w:wordWrap w:val="0"/>
              <w:jc w:val="center"/>
              <w:rPr>
                <w:szCs w:val="21"/>
                <w:highlight w:val="none"/>
              </w:rPr>
            </w:pPr>
            <w:r>
              <w:rPr>
                <w:szCs w:val="21"/>
                <w:highlight w:val="none"/>
              </w:rPr>
              <w:t>评分准则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Ex>
        <w:trPr>
          <w:trHeight w:val="3582" w:hRule="atLeast"/>
        </w:trPr>
        <w:tc>
          <w:tcPr>
            <w:tcW w:w="680" w:type="dxa"/>
            <w:vMerge w:val="continue"/>
            <w:tcBorders>
              <w:left w:val="single" w:color="000000" w:sz="8" w:space="0"/>
              <w:right w:val="single" w:color="000000" w:sz="8" w:space="0"/>
            </w:tcBorders>
            <w:vAlign w:val="center"/>
          </w:tcPr>
          <w:p>
            <w:pPr>
              <w:rPr>
                <w:b/>
                <w:bCs/>
                <w:sz w:val="24"/>
                <w:highlight w:val="none"/>
              </w:rPr>
            </w:pPr>
          </w:p>
        </w:tc>
        <w:tc>
          <w:tcPr>
            <w:tcW w:w="680" w:type="dxa"/>
            <w:tcBorders>
              <w:top w:val="single" w:color="000000" w:sz="8" w:space="0"/>
              <w:left w:val="single" w:color="000000" w:sz="8" w:space="0"/>
              <w:right w:val="single" w:color="000000" w:sz="8" w:space="0"/>
            </w:tcBorders>
          </w:tcPr>
          <w:p>
            <w:pPr>
              <w:wordWrap w:val="0"/>
              <w:jc w:val="center"/>
              <w:rPr>
                <w:szCs w:val="21"/>
                <w:highlight w:val="none"/>
              </w:rPr>
            </w:pPr>
            <w:r>
              <w:rPr>
                <w:rFonts w:hint="eastAsia"/>
                <w:szCs w:val="21"/>
                <w:highlight w:val="none"/>
              </w:rPr>
              <w:t>1</w:t>
            </w:r>
          </w:p>
        </w:tc>
        <w:tc>
          <w:tcPr>
            <w:tcW w:w="2468" w:type="dxa"/>
            <w:tcBorders>
              <w:top w:val="single" w:color="000000" w:sz="8" w:space="0"/>
              <w:left w:val="single" w:color="000000" w:sz="8" w:space="0"/>
              <w:right w:val="single" w:color="000000" w:sz="8" w:space="0"/>
            </w:tcBorders>
            <w:vAlign w:val="center"/>
          </w:tcPr>
          <w:p>
            <w:pPr>
              <w:wordWrap w:val="0"/>
              <w:jc w:val="center"/>
              <w:rPr>
                <w:szCs w:val="21"/>
                <w:highlight w:val="none"/>
              </w:rPr>
            </w:pPr>
            <w:r>
              <w:rPr>
                <w:rFonts w:hint="eastAsia"/>
                <w:color w:val="000000" w:themeColor="text1"/>
                <w:szCs w:val="21"/>
                <w:highlight w:val="none"/>
              </w:rPr>
              <w:t>诚信加分</w:t>
            </w:r>
          </w:p>
        </w:tc>
        <w:tc>
          <w:tcPr>
            <w:tcW w:w="1026" w:type="dxa"/>
            <w:tcBorders>
              <w:top w:val="single" w:color="000000" w:sz="8" w:space="0"/>
              <w:left w:val="single" w:color="000000" w:sz="8" w:space="0"/>
              <w:right w:val="single" w:color="000000" w:sz="8" w:space="0"/>
            </w:tcBorders>
            <w:vAlign w:val="center"/>
          </w:tcPr>
          <w:p>
            <w:pPr>
              <w:wordWrap w:val="0"/>
              <w:jc w:val="center"/>
              <w:rPr>
                <w:szCs w:val="21"/>
                <w:highlight w:val="none"/>
              </w:rPr>
            </w:pPr>
            <w:r>
              <w:rPr>
                <w:color w:val="000000" w:themeColor="text1"/>
                <w:szCs w:val="21"/>
                <w:highlight w:val="none"/>
              </w:rPr>
              <w:t>5</w:t>
            </w:r>
          </w:p>
        </w:tc>
        <w:tc>
          <w:tcPr>
            <w:tcW w:w="4218" w:type="dxa"/>
            <w:tcBorders>
              <w:top w:val="single" w:color="000000" w:sz="8" w:space="0"/>
              <w:left w:val="single" w:color="000000" w:sz="8" w:space="0"/>
              <w:bottom w:val="single" w:color="000000" w:sz="8" w:space="0"/>
              <w:right w:val="single" w:color="000000" w:sz="8" w:space="0"/>
            </w:tcBorders>
            <w:vAlign w:val="center"/>
          </w:tcPr>
          <w:p>
            <w:pPr>
              <w:jc w:val="left"/>
              <w:rPr>
                <w:szCs w:val="21"/>
                <w:highlight w:val="none"/>
              </w:rPr>
            </w:pPr>
            <w:r>
              <w:rPr>
                <w:rFonts w:hint="eastAsia"/>
                <w:color w:val="000000" w:themeColor="text1"/>
                <w:szCs w:val="21"/>
                <w:highlight w:val="none"/>
              </w:rPr>
              <w:t>根据《深圳市财政委员会关于加强招投标评审环节诚信管理的通知》（深财购</w:t>
            </w:r>
            <w:r>
              <w:rPr>
                <w:color w:val="000000" w:themeColor="text1"/>
                <w:szCs w:val="21"/>
                <w:highlight w:val="none"/>
              </w:rPr>
              <w:t>[2013]27</w:t>
            </w:r>
            <w:r>
              <w:rPr>
                <w:rFonts w:hint="eastAsia"/>
                <w:color w:val="000000" w:themeColor="text1"/>
                <w:szCs w:val="21"/>
                <w:highlight w:val="none"/>
              </w:rPr>
              <w:t>号）的要求，投标人在参与政府采购活动中存在诚信相关问题且在主管部门相关处理措施实施期限内的，本项不得分，否则得5分。投标人无需提供任何证明材料，由本项目评审委员会在评标时通过深圳市政府采购网系统查询。</w:t>
            </w:r>
          </w:p>
        </w:tc>
      </w:tr>
    </w:tbl>
    <w:p>
      <w:pPr>
        <w:widowControl w:val="0"/>
        <w:shd w:val="clear" w:color="auto" w:fill="auto"/>
        <w:tabs>
          <w:tab w:val="left" w:pos="1815"/>
          <w:tab w:val="clear" w:pos="426"/>
        </w:tabs>
        <w:adjustRightInd/>
        <w:snapToGrid/>
        <w:spacing w:line="240" w:lineRule="auto"/>
        <w:rPr>
          <w:rFonts w:cs="Times New Roman"/>
          <w:b/>
          <w:kern w:val="2"/>
          <w:szCs w:val="21"/>
          <w:highlight w:val="none"/>
        </w:rPr>
      </w:pPr>
      <w:r>
        <w:rPr>
          <w:rFonts w:hint="eastAsia" w:cs="Times New Roman"/>
          <w:b/>
          <w:kern w:val="2"/>
          <w:szCs w:val="21"/>
          <w:highlight w:val="none"/>
        </w:rPr>
        <w:t>2、具体细则</w:t>
      </w:r>
    </w:p>
    <w:p>
      <w:pPr>
        <w:tabs>
          <w:tab w:val="clear" w:pos="426"/>
        </w:tabs>
        <w:spacing w:line="240" w:lineRule="auto"/>
        <w:rPr>
          <w:highlight w:val="none"/>
        </w:rPr>
      </w:pPr>
    </w:p>
    <w:p>
      <w:pPr>
        <w:tabs>
          <w:tab w:val="clear" w:pos="426"/>
        </w:tabs>
        <w:spacing w:line="240" w:lineRule="auto"/>
        <w:rPr>
          <w:highlight w:val="none"/>
        </w:rPr>
      </w:pPr>
      <w:r>
        <w:rPr>
          <w:rFonts w:hint="eastAsia"/>
          <w:highlight w:val="none"/>
        </w:rPr>
        <w:t>备注：</w:t>
      </w:r>
    </w:p>
    <w:p>
      <w:pPr>
        <w:tabs>
          <w:tab w:val="clear" w:pos="426"/>
        </w:tabs>
        <w:spacing w:line="240" w:lineRule="auto"/>
        <w:ind w:firstLine="424" w:firstLineChars="202"/>
        <w:rPr>
          <w:highlight w:val="none"/>
        </w:rPr>
      </w:pPr>
      <w:r>
        <w:rPr>
          <w:rFonts w:hint="eastAsia"/>
          <w:highlight w:val="none"/>
        </w:rPr>
        <w:t>1.有取值范围的，含上限值不含下限值。每一项的得分均不能超过该项最高分值。</w:t>
      </w:r>
    </w:p>
    <w:p>
      <w:pPr>
        <w:tabs>
          <w:tab w:val="clear" w:pos="426"/>
        </w:tabs>
        <w:spacing w:line="240" w:lineRule="auto"/>
        <w:ind w:firstLine="424" w:firstLineChars="202"/>
        <w:rPr>
          <w:highlight w:val="none"/>
        </w:rPr>
      </w:pPr>
      <w:r>
        <w:rPr>
          <w:rFonts w:hint="eastAsia"/>
          <w:highlight w:val="none"/>
        </w:rPr>
        <w:t>2.缺项则该项为0分或不合格为0分。</w:t>
      </w:r>
    </w:p>
    <w:p>
      <w:pPr>
        <w:tabs>
          <w:tab w:val="clear" w:pos="426"/>
        </w:tabs>
        <w:spacing w:line="240" w:lineRule="auto"/>
        <w:ind w:firstLine="424" w:firstLineChars="202"/>
        <w:rPr>
          <w:highlight w:val="none"/>
        </w:rPr>
      </w:pPr>
      <w:r>
        <w:rPr>
          <w:rFonts w:hint="eastAsia"/>
          <w:highlight w:val="none"/>
        </w:rPr>
        <w:t>3.价格、技术、商务部分为针对项目具体情况设置项目，累加满分为100分，固定额外加分部分为固定设置项，对涉及政策导向优先采购产品进行额外加分。</w:t>
      </w:r>
    </w:p>
    <w:p>
      <w:pPr>
        <w:tabs>
          <w:tab w:val="clear" w:pos="426"/>
        </w:tabs>
        <w:spacing w:line="240" w:lineRule="auto"/>
        <w:ind w:firstLine="424" w:firstLineChars="202"/>
        <w:rPr>
          <w:rFonts w:ascii="Arial" w:hAnsi="Arial" w:cs="Arial"/>
          <w:snapToGrid w:val="0"/>
          <w:szCs w:val="18"/>
          <w:highlight w:val="none"/>
        </w:rPr>
      </w:pPr>
      <w:r>
        <w:rPr>
          <w:rFonts w:hint="eastAsia"/>
          <w:highlight w:val="none"/>
        </w:rPr>
        <w:t>4.综合以上</w:t>
      </w:r>
      <w:r>
        <w:rPr>
          <w:rFonts w:hint="eastAsia"/>
          <w:snapToGrid w:val="0"/>
          <w:highlight w:val="none"/>
        </w:rPr>
        <w:t>分析比较，评委会将对各投标文件进行书面的量化评定，得分</w:t>
      </w:r>
      <w:r>
        <w:rPr>
          <w:rFonts w:ascii="Arial" w:hAnsi="Arial" w:cs="Arial"/>
          <w:snapToGrid w:val="0"/>
          <w:szCs w:val="18"/>
          <w:highlight w:val="none"/>
        </w:rPr>
        <w:t>精确到小数点后两位</w:t>
      </w:r>
      <w:r>
        <w:rPr>
          <w:rFonts w:hint="eastAsia" w:ascii="Arial" w:hAnsi="Arial" w:cs="Arial"/>
          <w:snapToGrid w:val="0"/>
          <w:szCs w:val="18"/>
          <w:highlight w:val="none"/>
        </w:rPr>
        <w:t>。</w:t>
      </w:r>
    </w:p>
    <w:p>
      <w:pPr>
        <w:tabs>
          <w:tab w:val="clear" w:pos="426"/>
        </w:tabs>
        <w:spacing w:line="240" w:lineRule="auto"/>
        <w:ind w:firstLine="424" w:firstLineChars="202"/>
        <w:rPr>
          <w:bCs/>
          <w:color w:val="000000"/>
          <w:highlight w:val="none"/>
        </w:rPr>
      </w:pPr>
      <w:r>
        <w:rPr>
          <w:rFonts w:hint="eastAsia"/>
          <w:bCs/>
          <w:color w:val="000000"/>
          <w:highlight w:val="none"/>
        </w:rPr>
        <w:t>5客观评分项，所有评审专家应当统一打分分值；主观评分项，评审专家应当按照打分标准独立打分，对于单项打分低于60%或者达到100%，评审专家需要做出书面合理说明。</w:t>
      </w:r>
    </w:p>
    <w:p>
      <w:pPr>
        <w:tabs>
          <w:tab w:val="clear" w:pos="426"/>
        </w:tabs>
        <w:spacing w:line="240" w:lineRule="auto"/>
        <w:ind w:firstLine="424" w:firstLineChars="202"/>
        <w:jc w:val="left"/>
        <w:rPr>
          <w:bCs/>
          <w:color w:val="000000"/>
          <w:highlight w:val="none"/>
        </w:rPr>
      </w:pPr>
      <w:r>
        <w:rPr>
          <w:rFonts w:hint="eastAsia"/>
          <w:bCs/>
          <w:color w:val="000000"/>
          <w:highlight w:val="none"/>
        </w:rPr>
        <w:t>6.根据财政部《关于在政府采购活动中查询及使用信用记录有关问题的通知》（财库</w:t>
      </w:r>
      <w:r>
        <w:rPr>
          <w:rFonts w:ascii="Arial" w:hAnsi="Arial" w:cs="Arial"/>
          <w:color w:val="333333"/>
          <w:sz w:val="20"/>
          <w:szCs w:val="20"/>
          <w:highlight w:val="none"/>
          <w:shd w:val="clear" w:color="auto" w:fill="FFFFFF"/>
        </w:rPr>
        <w:t>〔</w:t>
      </w:r>
      <w:r>
        <w:rPr>
          <w:rFonts w:hint="eastAsia" w:ascii="Arial" w:hAnsi="Arial" w:cs="Arial"/>
          <w:color w:val="333333"/>
          <w:sz w:val="20"/>
          <w:szCs w:val="20"/>
          <w:highlight w:val="none"/>
          <w:shd w:val="clear" w:color="auto" w:fill="FFFFFF"/>
        </w:rPr>
        <w:t>2016</w:t>
      </w:r>
      <w:r>
        <w:rPr>
          <w:rFonts w:ascii="Arial" w:hAnsi="Arial" w:cs="Arial"/>
          <w:color w:val="333333"/>
          <w:sz w:val="20"/>
          <w:szCs w:val="20"/>
          <w:highlight w:val="none"/>
          <w:shd w:val="clear" w:color="auto" w:fill="FFFFFF"/>
        </w:rPr>
        <w:t>〕</w:t>
      </w:r>
      <w:r>
        <w:rPr>
          <w:rFonts w:hint="eastAsia" w:ascii="Arial" w:hAnsi="Arial" w:cs="Arial"/>
          <w:color w:val="333333"/>
          <w:sz w:val="20"/>
          <w:szCs w:val="20"/>
          <w:highlight w:val="none"/>
          <w:shd w:val="clear" w:color="auto" w:fill="FFFFFF"/>
        </w:rPr>
        <w:t>125号</w:t>
      </w:r>
      <w:r>
        <w:rPr>
          <w:rFonts w:hint="eastAsia"/>
          <w:bCs/>
          <w:color w:val="000000"/>
          <w:highlight w:val="none"/>
        </w:rPr>
        <w:t>）、《深圳市政府采购供应商诚信管理暂行办法》（深财规〔</w:t>
      </w:r>
      <w:r>
        <w:rPr>
          <w:bCs/>
          <w:color w:val="000000"/>
          <w:highlight w:val="none"/>
        </w:rPr>
        <w:t>2017〕8号</w:t>
      </w:r>
      <w:r>
        <w:rPr>
          <w:rFonts w:hint="eastAsia"/>
          <w:bCs/>
          <w:color w:val="000000"/>
          <w:highlight w:val="none"/>
        </w:rPr>
        <w:t>），供应商信用信息的查询渠道为“信用中国（</w:t>
      </w:r>
      <w:r>
        <w:rPr>
          <w:bCs/>
          <w:color w:val="000000"/>
          <w:highlight w:val="none"/>
        </w:rPr>
        <w:t>https://www.creditchina.gov.cn/</w:t>
      </w:r>
      <w:r>
        <w:rPr>
          <w:rFonts w:hint="eastAsia"/>
          <w:bCs/>
          <w:color w:val="000000"/>
          <w:highlight w:val="none"/>
        </w:rPr>
        <w:t>）”、 “中国政府采购网（</w:t>
      </w:r>
      <w:r>
        <w:rPr>
          <w:bCs/>
          <w:color w:val="000000"/>
          <w:highlight w:val="none"/>
        </w:rPr>
        <w:t>http://www.ccgp.gov.cn/</w:t>
      </w:r>
      <w:r>
        <w:rPr>
          <w:rFonts w:hint="eastAsia"/>
          <w:bCs/>
          <w:color w:val="000000"/>
          <w:highlight w:val="none"/>
        </w:rPr>
        <w:t>）”、“深圳市政府采购监管网（</w:t>
      </w:r>
      <w:r>
        <w:rPr>
          <w:bCs/>
          <w:color w:val="000000"/>
          <w:highlight w:val="none"/>
        </w:rPr>
        <w:t>http://www.zfcg.sz.gov.cn/</w:t>
      </w:r>
      <w:r>
        <w:rPr>
          <w:rFonts w:hint="eastAsia"/>
          <w:bCs/>
          <w:color w:val="000000"/>
          <w:highlight w:val="none"/>
        </w:rPr>
        <w:t>）”，相关信息以中标通知书发出前的查询结果为准。</w:t>
      </w:r>
    </w:p>
    <w:p>
      <w:pPr>
        <w:tabs>
          <w:tab w:val="clear" w:pos="426"/>
        </w:tabs>
        <w:spacing w:line="240" w:lineRule="auto"/>
        <w:rPr>
          <w:bCs/>
          <w:color w:val="000000"/>
          <w:highlight w:val="none"/>
        </w:rPr>
      </w:pPr>
    </w:p>
    <w:p>
      <w:pPr>
        <w:widowControl w:val="0"/>
        <w:shd w:val="clear" w:color="auto" w:fill="auto"/>
        <w:tabs>
          <w:tab w:val="clear" w:pos="426"/>
        </w:tabs>
        <w:adjustRightInd/>
        <w:snapToGrid/>
        <w:spacing w:line="240" w:lineRule="auto"/>
        <w:jc w:val="left"/>
        <w:rPr>
          <w:rFonts w:ascii="Calibri" w:hAnsi="Calibri" w:cs="Times New Roman"/>
          <w:b/>
          <w:kern w:val="2"/>
          <w:szCs w:val="22"/>
          <w:highlight w:val="none"/>
        </w:rPr>
      </w:pPr>
    </w:p>
    <w:p>
      <w:pPr>
        <w:pStyle w:val="33"/>
        <w:tabs>
          <w:tab w:val="clear" w:pos="426"/>
        </w:tabs>
        <w:rPr>
          <w:highlight w:val="none"/>
        </w:rPr>
      </w:pPr>
      <w:bookmarkStart w:id="32" w:name="_Toc5875384"/>
      <w:bookmarkStart w:id="33" w:name="_Toc482964468"/>
      <w:bookmarkStart w:id="34" w:name="_Toc471"/>
      <w:bookmarkStart w:id="35" w:name="_Hlk5873239"/>
      <w:r>
        <w:rPr>
          <w:rFonts w:hint="eastAsia"/>
          <w:highlight w:val="none"/>
        </w:rPr>
        <w:t>定</w:t>
      </w:r>
      <w:r>
        <w:rPr>
          <w:highlight w:val="none"/>
        </w:rPr>
        <w:t>标信息</w:t>
      </w:r>
      <w:bookmarkEnd w:id="32"/>
      <w:bookmarkEnd w:id="33"/>
      <w:bookmarkEnd w:id="34"/>
    </w:p>
    <w:p>
      <w:pPr>
        <w:tabs>
          <w:tab w:val="clear" w:pos="426"/>
        </w:tabs>
        <w:wordWrap w:val="0"/>
        <w:rPr>
          <w:b/>
          <w:bCs/>
          <w:highlight w:val="none"/>
        </w:rPr>
      </w:pPr>
    </w:p>
    <w:bookmarkEnd w:id="35"/>
    <w:p>
      <w:pPr>
        <w:tabs>
          <w:tab w:val="clear" w:pos="426"/>
        </w:tabs>
        <w:wordWrap w:val="0"/>
        <w:rPr>
          <w:b/>
          <w:bCs/>
          <w:highlight w:val="none"/>
        </w:rPr>
      </w:pPr>
      <w:r>
        <w:rPr>
          <w:rFonts w:hint="eastAsia"/>
          <w:b/>
          <w:bCs/>
          <w:highlight w:val="none"/>
        </w:rPr>
        <w:t>一、定标原则</w:t>
      </w:r>
    </w:p>
    <w:p>
      <w:pPr>
        <w:tabs>
          <w:tab w:val="clear" w:pos="426"/>
        </w:tabs>
        <w:ind w:firstLine="411" w:firstLineChars="196"/>
        <w:rPr>
          <w:highlight w:val="none"/>
        </w:rPr>
      </w:pPr>
      <w:r>
        <w:rPr>
          <w:rFonts w:hint="eastAsia"/>
          <w:highlight w:val="none"/>
        </w:rPr>
        <w:t>按照招标文件规定的《评标信息》进行评审后，进入定标程序的三家投标单位按照自定法定标程序确定中标候选人。经采购人同意后，确定为中标人。</w:t>
      </w:r>
    </w:p>
    <w:p>
      <w:pPr>
        <w:tabs>
          <w:tab w:val="clear" w:pos="426"/>
        </w:tabs>
        <w:rPr>
          <w:highlight w:val="none"/>
        </w:rPr>
      </w:pPr>
    </w:p>
    <w:p>
      <w:pPr>
        <w:tabs>
          <w:tab w:val="clear" w:pos="426"/>
        </w:tabs>
        <w:rPr>
          <w:b/>
          <w:highlight w:val="none"/>
        </w:rPr>
      </w:pPr>
      <w:r>
        <w:rPr>
          <w:rFonts w:hint="eastAsia"/>
          <w:b/>
          <w:highlight w:val="none"/>
        </w:rPr>
        <w:t>二、定标流程</w:t>
      </w:r>
    </w:p>
    <w:p>
      <w:pPr>
        <w:tabs>
          <w:tab w:val="clear" w:pos="426"/>
        </w:tabs>
        <w:ind w:firstLine="420" w:firstLineChars="200"/>
        <w:rPr>
          <w:highlight w:val="none"/>
        </w:rPr>
      </w:pPr>
      <w:r>
        <w:rPr>
          <w:highlight w:val="none"/>
        </w:rPr>
        <w:t>1</w:t>
      </w:r>
      <w:r>
        <w:rPr>
          <w:rFonts w:hint="eastAsia"/>
          <w:highlight w:val="none"/>
        </w:rPr>
        <w:t>.项目评审结束之日起</w:t>
      </w:r>
      <w:r>
        <w:rPr>
          <w:highlight w:val="none"/>
        </w:rPr>
        <w:t>2</w:t>
      </w:r>
      <w:r>
        <w:rPr>
          <w:rFonts w:hint="eastAsia"/>
          <w:highlight w:val="none"/>
        </w:rPr>
        <w:t>个工作日内，采购人领取《评审报告》、《采购结果确定书》等材料；</w:t>
      </w:r>
    </w:p>
    <w:p>
      <w:pPr>
        <w:tabs>
          <w:tab w:val="clear" w:pos="426"/>
        </w:tabs>
        <w:ind w:firstLine="420" w:firstLineChars="200"/>
        <w:rPr>
          <w:highlight w:val="none"/>
        </w:rPr>
      </w:pPr>
      <w:r>
        <w:rPr>
          <w:highlight w:val="none"/>
        </w:rPr>
        <w:t>2</w:t>
      </w:r>
      <w:r>
        <w:rPr>
          <w:rFonts w:hint="eastAsia"/>
          <w:highlight w:val="none"/>
        </w:rPr>
        <w:t>.采购人应当在自收到评审报告之日起</w:t>
      </w:r>
      <w:r>
        <w:rPr>
          <w:highlight w:val="none"/>
        </w:rPr>
        <w:t>2</w:t>
      </w:r>
      <w:r>
        <w:rPr>
          <w:rFonts w:hint="eastAsia"/>
          <w:highlight w:val="none"/>
        </w:rPr>
        <w:t>个工作日内，组成定标委员会，召开定标会并确定中标人。</w:t>
      </w:r>
    </w:p>
    <w:p>
      <w:pPr>
        <w:tabs>
          <w:tab w:val="clear" w:pos="426"/>
        </w:tabs>
        <w:ind w:firstLine="420" w:firstLineChars="200"/>
        <w:rPr>
          <w:highlight w:val="none"/>
        </w:rPr>
      </w:pPr>
      <w:r>
        <w:rPr>
          <w:rFonts w:hint="eastAsia"/>
          <w:highlight w:val="none"/>
        </w:rPr>
        <w:t>定标委员会应当由</w:t>
      </w:r>
      <w:r>
        <w:rPr>
          <w:highlight w:val="none"/>
        </w:rPr>
        <w:t>5人或以上单数组成，采购人应当按照以下要求组成定标委员会：</w:t>
      </w:r>
    </w:p>
    <w:p>
      <w:pPr>
        <w:tabs>
          <w:tab w:val="clear" w:pos="426"/>
        </w:tabs>
        <w:ind w:firstLine="420" w:firstLineChars="200"/>
        <w:rPr>
          <w:highlight w:val="none"/>
        </w:rPr>
      </w:pPr>
      <w:r>
        <w:rPr>
          <w:rFonts w:hint="eastAsia"/>
          <w:highlight w:val="none"/>
        </w:rPr>
        <w:t>（一）采购金额在</w:t>
      </w:r>
      <w:r>
        <w:rPr>
          <w:highlight w:val="none"/>
        </w:rPr>
        <w:t>100万元以下（不含100万元）的采购项目，定标委员会应当由3人或以上单数组成，定标委员会成员应当由采购人的中层管理人员、所采购项目管理人员等组成。</w:t>
      </w:r>
    </w:p>
    <w:p>
      <w:pPr>
        <w:tabs>
          <w:tab w:val="clear" w:pos="426"/>
        </w:tabs>
        <w:ind w:firstLine="420" w:firstLineChars="200"/>
        <w:rPr>
          <w:highlight w:val="none"/>
        </w:rPr>
      </w:pPr>
      <w:r>
        <w:rPr>
          <w:rFonts w:hint="eastAsia"/>
          <w:highlight w:val="none"/>
        </w:rPr>
        <w:t>（二）采购金额在</w:t>
      </w:r>
      <w:r>
        <w:rPr>
          <w:highlight w:val="none"/>
        </w:rPr>
        <w:t>100万元以上（含100万元）500万元以下（不含500万元）的采购项目，定标委员会应当由5人或以上单数组成，定标委员会成员应当由采购人的高层管理人员、中层管理人员、所采购项目管理人员（或者具有与所采购项目对应的专业领域中级以上职称的专家）等组成。</w:t>
      </w:r>
    </w:p>
    <w:p>
      <w:pPr>
        <w:tabs>
          <w:tab w:val="clear" w:pos="426"/>
        </w:tabs>
        <w:ind w:firstLine="420" w:firstLineChars="200"/>
        <w:rPr>
          <w:highlight w:val="none"/>
        </w:rPr>
      </w:pPr>
      <w:r>
        <w:rPr>
          <w:rFonts w:hint="eastAsia"/>
          <w:highlight w:val="none"/>
        </w:rPr>
        <w:t>（三）采购金额在</w:t>
      </w:r>
      <w:r>
        <w:rPr>
          <w:highlight w:val="none"/>
        </w:rPr>
        <w:t>500万元以上（含500万元）的采购项目，定标委员会应当由7人或以上单数组成，定标委员会成员应当由采购人的行政首长、其他高层管理人员、中层管理人员、所采购项目管理人员（或者具有与所采购项目对应的专业领域中级以上职称的专家）等组成。</w:t>
      </w:r>
    </w:p>
    <w:p>
      <w:pPr>
        <w:tabs>
          <w:tab w:val="clear" w:pos="426"/>
        </w:tabs>
        <w:ind w:firstLine="420" w:firstLineChars="200"/>
        <w:rPr>
          <w:highlight w:val="none"/>
        </w:rPr>
      </w:pPr>
      <w:r>
        <w:rPr>
          <w:rFonts w:hint="eastAsia"/>
          <w:highlight w:val="none"/>
        </w:rPr>
        <w:t>定标委员会成员应当在定标当日由采购人从</w:t>
      </w:r>
      <w:r>
        <w:rPr>
          <w:highlight w:val="none"/>
        </w:rPr>
        <w:t>2倍以上符合条件的备选人员名单中随机抽取确定。其中采购人行政首长和高层管理人员无需随机抽取。</w:t>
      </w:r>
    </w:p>
    <w:p>
      <w:pPr>
        <w:tabs>
          <w:tab w:val="clear" w:pos="426"/>
        </w:tabs>
        <w:ind w:firstLine="420" w:firstLineChars="200"/>
        <w:rPr>
          <w:highlight w:val="none"/>
        </w:rPr>
      </w:pPr>
      <w:r>
        <w:rPr>
          <w:rFonts w:hint="eastAsia"/>
          <w:highlight w:val="none"/>
        </w:rPr>
        <w:t>采购人自身人数无法达到本办法规定的定标委员会人数的，可委托采购代理机构申请随机抽取与政府采购项目对应的专家参与组成定标委员会，但定标专家比例不得超过定标委员会人数的三分之一。</w:t>
      </w:r>
    </w:p>
    <w:p>
      <w:pPr>
        <w:tabs>
          <w:tab w:val="clear" w:pos="426"/>
        </w:tabs>
        <w:ind w:firstLine="420" w:firstLineChars="200"/>
        <w:rPr>
          <w:highlight w:val="none"/>
        </w:rPr>
      </w:pPr>
      <w:r>
        <w:rPr>
          <w:rFonts w:hint="eastAsia"/>
          <w:highlight w:val="none"/>
        </w:rPr>
        <w:t>定标委员会组成后，采购人应当推选</w:t>
      </w:r>
      <w:r>
        <w:rPr>
          <w:highlight w:val="none"/>
        </w:rPr>
        <w:t>1</w:t>
      </w:r>
      <w:r>
        <w:rPr>
          <w:rFonts w:hint="eastAsia"/>
          <w:highlight w:val="none"/>
        </w:rPr>
        <w:t>人为定标委员会主任，主持当次定标会议并依据招标文件进行定标的各项程序。</w:t>
      </w:r>
    </w:p>
    <w:p>
      <w:pPr>
        <w:tabs>
          <w:tab w:val="clear" w:pos="426"/>
        </w:tabs>
        <w:ind w:firstLine="420" w:firstLineChars="200"/>
        <w:rPr>
          <w:highlight w:val="none"/>
        </w:rPr>
      </w:pPr>
      <w:r>
        <w:rPr>
          <w:highlight w:val="none"/>
        </w:rPr>
        <w:t>采购人组成定标委员会后可选取</w:t>
      </w:r>
      <w:r>
        <w:rPr>
          <w:rFonts w:hint="eastAsia"/>
          <w:highlight w:val="none"/>
        </w:rPr>
        <w:t>以</w:t>
      </w:r>
      <w:r>
        <w:rPr>
          <w:highlight w:val="none"/>
        </w:rPr>
        <w:t>下方式之一定标：</w:t>
      </w:r>
    </w:p>
    <w:p>
      <w:pPr>
        <w:tabs>
          <w:tab w:val="clear" w:pos="426"/>
        </w:tabs>
        <w:ind w:firstLine="420" w:firstLineChars="200"/>
        <w:rPr>
          <w:highlight w:val="none"/>
        </w:rPr>
      </w:pPr>
      <w:r>
        <w:rPr>
          <w:highlight w:val="none"/>
        </w:rPr>
        <w:t>（1）直线票决法：直线票决法分为一次票决、逐轮票决、先票决后抽签和先票决后竞价四种方式，定标委员会成员所有投票及意见均采取实名制且应当进行书面记录，作为定标报告的重要内容。</w:t>
      </w:r>
    </w:p>
    <w:p>
      <w:pPr>
        <w:tabs>
          <w:tab w:val="clear" w:pos="426"/>
        </w:tabs>
        <w:ind w:firstLine="420" w:firstLineChars="200"/>
        <w:rPr>
          <w:highlight w:val="none"/>
        </w:rPr>
      </w:pPr>
      <w:r>
        <w:rPr>
          <w:highlight w:val="none"/>
        </w:rPr>
        <w:t>（2）集体议事法：定标委员会通过召开会议，集体商议决策确定中标供应商，由定标委员会主任最终确定。所有参加会议的定标委员会成员的意见，应当全部书面记录，并由定标委员会成员签字确认。</w:t>
      </w:r>
    </w:p>
    <w:p>
      <w:pPr>
        <w:tabs>
          <w:tab w:val="clear" w:pos="426"/>
        </w:tabs>
        <w:ind w:firstLine="420" w:firstLineChars="200"/>
        <w:rPr>
          <w:highlight w:val="none"/>
        </w:rPr>
      </w:pPr>
      <w:r>
        <w:rPr>
          <w:highlight w:val="none"/>
        </w:rPr>
        <w:t>（3）累积投票法：定标委员会每个成员都持有等同于推荐候选中标供应商数量100倍的分值，定标委员会成员既可用所有的分值集中投给某一个推荐候选中标供应商，也可将分值分散投给全部或者部分推荐候选中标供应商。按最终得分多少确定中标供应商，即得分最高的供应商为中标供应商。</w:t>
      </w:r>
    </w:p>
    <w:p>
      <w:pPr>
        <w:tabs>
          <w:tab w:val="clear" w:pos="426"/>
        </w:tabs>
        <w:ind w:firstLine="420" w:firstLineChars="200"/>
        <w:rPr>
          <w:highlight w:val="none"/>
        </w:rPr>
      </w:pPr>
      <w:r>
        <w:rPr>
          <w:highlight w:val="none"/>
        </w:rPr>
        <w:t>3</w:t>
      </w:r>
      <w:r>
        <w:rPr>
          <w:rFonts w:hint="eastAsia"/>
          <w:highlight w:val="none"/>
        </w:rPr>
        <w:t>.采购人应当在定标会召开后的</w:t>
      </w:r>
      <w:r>
        <w:rPr>
          <w:highlight w:val="none"/>
        </w:rPr>
        <w:t>2</w:t>
      </w:r>
      <w:r>
        <w:rPr>
          <w:rFonts w:hint="eastAsia"/>
          <w:highlight w:val="none"/>
        </w:rPr>
        <w:t>个工作日内，将《定标书面记录》、《定标报告》在采购人内部网站或者内部公共办公区域公示，公示日期不少于</w:t>
      </w:r>
      <w:r>
        <w:rPr>
          <w:highlight w:val="none"/>
        </w:rPr>
        <w:t>3</w:t>
      </w:r>
      <w:r>
        <w:rPr>
          <w:rFonts w:hint="eastAsia"/>
          <w:highlight w:val="none"/>
        </w:rPr>
        <w:t>个工作日。公示内容包括定标委员会候选人员名单、正式成员名单、定标程序、定标环节及定标结果等内容。</w:t>
      </w:r>
    </w:p>
    <w:p>
      <w:pPr>
        <w:tabs>
          <w:tab w:val="clear" w:pos="426"/>
        </w:tabs>
        <w:ind w:firstLine="420" w:firstLineChars="200"/>
        <w:rPr>
          <w:highlight w:val="none"/>
        </w:rPr>
      </w:pPr>
      <w:r>
        <w:rPr>
          <w:highlight w:val="none"/>
        </w:rPr>
        <w:t>4</w:t>
      </w:r>
      <w:r>
        <w:rPr>
          <w:rFonts w:hint="eastAsia"/>
          <w:highlight w:val="none"/>
        </w:rPr>
        <w:t>.采购人应当在公示结束后</w:t>
      </w:r>
      <w:r>
        <w:rPr>
          <w:highlight w:val="none"/>
        </w:rPr>
        <w:t>2</w:t>
      </w:r>
      <w:r>
        <w:rPr>
          <w:rFonts w:hint="eastAsia"/>
          <w:highlight w:val="none"/>
        </w:rPr>
        <w:t>个工作日内，将《定标报告》和《采购结果确定书》移交采购代理机构。定标报告应当包括但不限于定标委员会候选人员名单、正式成员名单、定标委员会的产生过程、定标程序及定标结果等内容。</w:t>
      </w:r>
    </w:p>
    <w:p>
      <w:pPr>
        <w:tabs>
          <w:tab w:val="clear" w:pos="426"/>
        </w:tabs>
        <w:ind w:firstLine="420" w:firstLineChars="200"/>
        <w:rPr>
          <w:highlight w:val="none"/>
        </w:rPr>
      </w:pPr>
      <w:r>
        <w:rPr>
          <w:highlight w:val="none"/>
        </w:rPr>
        <w:t>5</w:t>
      </w:r>
      <w:r>
        <w:rPr>
          <w:rFonts w:hint="eastAsia"/>
          <w:highlight w:val="none"/>
        </w:rPr>
        <w:t>.采购代理机构项目评审负责人收到《定标报告》和《采购结果确定书》后当天在深圳市政府采购网发布项目《中标结果公示》。</w:t>
      </w:r>
    </w:p>
    <w:p>
      <w:pPr>
        <w:tabs>
          <w:tab w:val="clear" w:pos="426"/>
        </w:tabs>
        <w:ind w:firstLine="420" w:firstLineChars="200"/>
        <w:rPr>
          <w:highlight w:val="none"/>
        </w:rPr>
      </w:pPr>
      <w:r>
        <w:rPr>
          <w:highlight w:val="none"/>
        </w:rPr>
        <w:t>6</w:t>
      </w:r>
      <w:r>
        <w:rPr>
          <w:rFonts w:hint="eastAsia"/>
          <w:highlight w:val="none"/>
        </w:rPr>
        <w:t>.中标结果公示后，如无质疑投诉或已按相关法规妥善处理，采购代理机构发出中标通知书。</w:t>
      </w:r>
    </w:p>
    <w:p>
      <w:pPr>
        <w:shd w:val="clear" w:color="auto" w:fill="auto"/>
        <w:tabs>
          <w:tab w:val="clear" w:pos="426"/>
        </w:tabs>
        <w:adjustRightInd/>
        <w:snapToGrid/>
        <w:spacing w:line="240" w:lineRule="auto"/>
        <w:jc w:val="left"/>
        <w:rPr>
          <w:highlight w:val="none"/>
        </w:rPr>
      </w:pPr>
      <w:r>
        <w:rPr>
          <w:highlight w:val="none"/>
        </w:rPr>
        <w:br w:type="page"/>
      </w:r>
    </w:p>
    <w:p>
      <w:pPr>
        <w:pStyle w:val="42"/>
        <w:tabs>
          <w:tab w:val="clear" w:pos="426"/>
        </w:tabs>
        <w:rPr>
          <w:highlight w:val="none"/>
        </w:rPr>
      </w:pPr>
      <w:bookmarkStart w:id="36" w:name="_Toc18426"/>
      <w:bookmarkStart w:id="37" w:name="_Toc5875387"/>
      <w:r>
        <w:rPr>
          <w:rFonts w:hint="eastAsia"/>
          <w:highlight w:val="none"/>
        </w:rPr>
        <w:t>第一册专用条款</w:t>
      </w:r>
      <w:bookmarkEnd w:id="30"/>
      <w:bookmarkEnd w:id="36"/>
      <w:bookmarkEnd w:id="37"/>
    </w:p>
    <w:p>
      <w:pPr>
        <w:pStyle w:val="33"/>
        <w:tabs>
          <w:tab w:val="clear" w:pos="426"/>
        </w:tabs>
        <w:rPr>
          <w:highlight w:val="none"/>
        </w:rPr>
      </w:pPr>
      <w:bookmarkStart w:id="38" w:name="_Toc22778"/>
      <w:bookmarkStart w:id="39" w:name="_Toc265483798"/>
      <w:bookmarkStart w:id="40" w:name="_Toc432592813"/>
      <w:bookmarkStart w:id="41" w:name="_Toc5875388"/>
      <w:r>
        <w:rPr>
          <w:rFonts w:hint="eastAsia"/>
          <w:highlight w:val="none"/>
        </w:rPr>
        <w:t>第一章采购公告</w:t>
      </w:r>
      <w:bookmarkEnd w:id="38"/>
      <w:bookmarkEnd w:id="39"/>
      <w:bookmarkEnd w:id="40"/>
      <w:bookmarkEnd w:id="41"/>
    </w:p>
    <w:p>
      <w:pPr>
        <w:tabs>
          <w:tab w:val="clear" w:pos="426"/>
        </w:tabs>
        <w:rPr>
          <w:b/>
          <w:highlight w:val="none"/>
        </w:rPr>
      </w:pPr>
      <w:bookmarkStart w:id="409" w:name="_GoBack"/>
      <w:r>
        <w:rPr>
          <w:rFonts w:hint="eastAsia"/>
          <w:b/>
          <w:highlight w:val="none"/>
        </w:rPr>
        <w:t>一、项目概况</w:t>
      </w:r>
    </w:p>
    <w:p>
      <w:pPr>
        <w:tabs>
          <w:tab w:val="clear" w:pos="426"/>
        </w:tabs>
        <w:ind w:firstLine="424" w:firstLineChars="202"/>
        <w:rPr>
          <w:rFonts w:hint="eastAsia" w:eastAsia="宋体"/>
          <w:kern w:val="2"/>
          <w:highlight w:val="none"/>
          <w:lang w:eastAsia="zh-CN"/>
        </w:rPr>
      </w:pPr>
      <w:bookmarkStart w:id="42" w:name="项目概况2"/>
      <w:r>
        <w:rPr>
          <w:rFonts w:hint="eastAsia"/>
          <w:highlight w:val="none"/>
        </w:rPr>
        <w:t>1.招标项目编号：</w:t>
      </w:r>
      <w:r>
        <w:rPr>
          <w:rFonts w:hint="eastAsia"/>
          <w:highlight w:val="none"/>
          <w:lang w:eastAsia="zh-CN"/>
        </w:rPr>
        <w:t>SSZX2019-153</w:t>
      </w:r>
    </w:p>
    <w:p>
      <w:pPr>
        <w:tabs>
          <w:tab w:val="clear" w:pos="426"/>
        </w:tabs>
        <w:ind w:firstLine="424" w:firstLineChars="202"/>
        <w:rPr>
          <w:highlight w:val="none"/>
        </w:rPr>
      </w:pPr>
      <w:r>
        <w:rPr>
          <w:rFonts w:hint="eastAsia"/>
          <w:highlight w:val="none"/>
        </w:rPr>
        <w:t>2.项目名称：南头中学校史馆设备及软件开发</w:t>
      </w:r>
    </w:p>
    <w:p>
      <w:pPr>
        <w:tabs>
          <w:tab w:val="clear" w:pos="426"/>
        </w:tabs>
        <w:ind w:firstLine="424" w:firstLineChars="202"/>
        <w:rPr>
          <w:highlight w:val="none"/>
        </w:rPr>
      </w:pPr>
      <w:r>
        <w:rPr>
          <w:rFonts w:hint="eastAsia"/>
          <w:highlight w:val="none"/>
        </w:rPr>
        <w:t>3.采购人：深圳市南头中学</w:t>
      </w:r>
    </w:p>
    <w:p>
      <w:pPr>
        <w:tabs>
          <w:tab w:val="clear" w:pos="426"/>
        </w:tabs>
        <w:ind w:firstLine="424" w:firstLineChars="202"/>
        <w:rPr>
          <w:highlight w:val="none"/>
        </w:rPr>
      </w:pPr>
      <w:r>
        <w:rPr>
          <w:rFonts w:hint="eastAsia"/>
          <w:highlight w:val="none"/>
        </w:rPr>
        <w:t>4.采购代理机构：深圳市深水水务咨询有限公司</w:t>
      </w:r>
    </w:p>
    <w:p>
      <w:pPr>
        <w:tabs>
          <w:tab w:val="clear" w:pos="426"/>
        </w:tabs>
        <w:ind w:firstLine="424" w:firstLineChars="202"/>
        <w:rPr>
          <w:rFonts w:hint="eastAsia" w:eastAsia="宋体"/>
          <w:highlight w:val="none"/>
          <w:lang w:eastAsia="zh-CN"/>
        </w:rPr>
      </w:pPr>
      <w:r>
        <w:rPr>
          <w:rFonts w:hint="eastAsia"/>
          <w:highlight w:val="none"/>
        </w:rPr>
        <w:t>5.项目地点：深圳市</w:t>
      </w:r>
      <w:r>
        <w:rPr>
          <w:rFonts w:hint="eastAsia"/>
          <w:highlight w:val="none"/>
          <w:lang w:eastAsia="zh-CN"/>
        </w:rPr>
        <w:t>南山区</w:t>
      </w:r>
    </w:p>
    <w:p>
      <w:pPr>
        <w:tabs>
          <w:tab w:val="clear" w:pos="426"/>
        </w:tabs>
        <w:ind w:firstLine="424" w:firstLineChars="202"/>
        <w:rPr>
          <w:highlight w:val="none"/>
        </w:rPr>
      </w:pPr>
      <w:r>
        <w:rPr>
          <w:rFonts w:hint="eastAsia"/>
          <w:highlight w:val="none"/>
        </w:rPr>
        <w:t>6.项目规模及特征：具体内容，详</w:t>
      </w:r>
      <w:r>
        <w:rPr>
          <w:rFonts w:hint="eastAsia"/>
          <w:kern w:val="2"/>
          <w:highlight w:val="none"/>
        </w:rPr>
        <w:t>见招标文件及采购需求</w:t>
      </w:r>
      <w:r>
        <w:rPr>
          <w:rFonts w:hint="eastAsia"/>
          <w:highlight w:val="none"/>
        </w:rPr>
        <w:t>。</w:t>
      </w:r>
    </w:p>
    <w:p>
      <w:pPr>
        <w:tabs>
          <w:tab w:val="clear" w:pos="426"/>
        </w:tabs>
        <w:ind w:firstLine="424" w:firstLineChars="202"/>
        <w:rPr>
          <w:highlight w:val="none"/>
        </w:rPr>
      </w:pPr>
      <w:r>
        <w:rPr>
          <w:rFonts w:hint="eastAsia"/>
          <w:highlight w:val="none"/>
        </w:rPr>
        <w:t>7.资金来源：财政资金100%</w:t>
      </w:r>
    </w:p>
    <w:p>
      <w:pPr>
        <w:tabs>
          <w:tab w:val="clear" w:pos="426"/>
        </w:tabs>
        <w:ind w:firstLine="424" w:firstLineChars="202"/>
        <w:rPr>
          <w:highlight w:val="none"/>
        </w:rPr>
      </w:pPr>
      <w:r>
        <w:rPr>
          <w:rFonts w:hint="eastAsia"/>
          <w:color w:val="000000"/>
          <w:highlight w:val="none"/>
        </w:rPr>
        <w:t>8.采购内容</w:t>
      </w:r>
      <w:r>
        <w:rPr>
          <w:rFonts w:hint="eastAsia"/>
          <w:highlight w:val="none"/>
        </w:rPr>
        <w:t>：南头中学校史馆设备及软件开发，详</w:t>
      </w:r>
      <w:r>
        <w:rPr>
          <w:rFonts w:hint="eastAsia"/>
          <w:kern w:val="2"/>
          <w:highlight w:val="none"/>
        </w:rPr>
        <w:t>见招标文件及采购需求</w:t>
      </w:r>
      <w:r>
        <w:rPr>
          <w:rFonts w:hint="eastAsia"/>
          <w:highlight w:val="none"/>
        </w:rPr>
        <w:t>。</w:t>
      </w:r>
    </w:p>
    <w:p>
      <w:pPr>
        <w:tabs>
          <w:tab w:val="clear" w:pos="426"/>
        </w:tabs>
        <w:ind w:firstLine="424" w:firstLineChars="202"/>
        <w:rPr>
          <w:highlight w:val="none"/>
        </w:rPr>
      </w:pPr>
      <w:r>
        <w:rPr>
          <w:rFonts w:hint="eastAsia"/>
          <w:highlight w:val="none"/>
        </w:rPr>
        <w:t>9.采购方式：公开招标</w:t>
      </w:r>
    </w:p>
    <w:p>
      <w:pPr>
        <w:tabs>
          <w:tab w:val="clear" w:pos="426"/>
        </w:tabs>
        <w:ind w:firstLine="424" w:firstLineChars="202"/>
        <w:rPr>
          <w:highlight w:val="none"/>
        </w:rPr>
      </w:pPr>
      <w:r>
        <w:rPr>
          <w:rFonts w:hint="eastAsia"/>
          <w:highlight w:val="none"/>
        </w:rPr>
        <w:t>10</w:t>
      </w:r>
      <w:r>
        <w:rPr>
          <w:highlight w:val="none"/>
        </w:rPr>
        <w:t>.</w:t>
      </w:r>
      <w:r>
        <w:rPr>
          <w:rFonts w:hint="eastAsia"/>
          <w:highlight w:val="none"/>
        </w:rPr>
        <w:t>评标方法：综合评分法，定标方法：</w:t>
      </w:r>
      <w:r>
        <w:rPr>
          <w:rFonts w:hint="eastAsia"/>
          <w:szCs w:val="21"/>
          <w:highlight w:val="none"/>
        </w:rPr>
        <w:t>自定法</w:t>
      </w:r>
    </w:p>
    <w:p>
      <w:pPr>
        <w:ind w:firstLine="424" w:firstLineChars="202"/>
        <w:rPr>
          <w:rFonts w:hint="default" w:asciiTheme="majorEastAsia" w:hAnsiTheme="majorEastAsia" w:eastAsiaTheme="majorEastAsia"/>
          <w:bCs/>
          <w:szCs w:val="21"/>
          <w:highlight w:val="none"/>
          <w:lang w:val="en-US" w:eastAsia="zh-CN"/>
        </w:rPr>
      </w:pPr>
      <w:r>
        <w:rPr>
          <w:rFonts w:hint="eastAsia"/>
          <w:highlight w:val="none"/>
        </w:rPr>
        <w:t>11.交货期要求：</w:t>
      </w:r>
      <w:bookmarkEnd w:id="42"/>
      <w:r>
        <w:rPr>
          <w:rFonts w:hint="eastAsia" w:asciiTheme="majorEastAsia" w:hAnsiTheme="majorEastAsia" w:eastAsiaTheme="majorEastAsia"/>
          <w:bCs/>
          <w:szCs w:val="21"/>
          <w:highlight w:val="none"/>
        </w:rPr>
        <w:t>40个日历日</w:t>
      </w:r>
    </w:p>
    <w:p>
      <w:pPr>
        <w:tabs>
          <w:tab w:val="clear" w:pos="426"/>
        </w:tabs>
        <w:rPr>
          <w:b/>
          <w:highlight w:val="none"/>
        </w:rPr>
      </w:pPr>
      <w:r>
        <w:rPr>
          <w:rFonts w:hint="eastAsia"/>
          <w:b/>
          <w:highlight w:val="none"/>
        </w:rPr>
        <w:t>二、投标人资格要求</w:t>
      </w:r>
    </w:p>
    <w:p>
      <w:pPr>
        <w:tabs>
          <w:tab w:val="clear" w:pos="426"/>
        </w:tabs>
        <w:ind w:firstLine="424" w:firstLineChars="202"/>
        <w:rPr>
          <w:rFonts w:cs="Times New Roman"/>
          <w:b w:val="0"/>
          <w:bCs w:val="0"/>
          <w:kern w:val="2"/>
          <w:szCs w:val="20"/>
          <w:highlight w:val="none"/>
        </w:rPr>
      </w:pPr>
      <w:r>
        <w:rPr>
          <w:rFonts w:hint="eastAsia" w:cs="Times New Roman"/>
          <w:b w:val="0"/>
          <w:bCs w:val="0"/>
          <w:kern w:val="2"/>
          <w:szCs w:val="20"/>
          <w:highlight w:val="none"/>
        </w:rPr>
        <w:t>（1）</w:t>
      </w:r>
      <w:r>
        <w:rPr>
          <w:rFonts w:cs="Times New Roman"/>
          <w:b w:val="0"/>
          <w:bCs w:val="0"/>
          <w:kern w:val="2"/>
          <w:szCs w:val="20"/>
          <w:highlight w:val="none"/>
        </w:rPr>
        <w:t>投标人须是在中华人民共和国境内注册的有合法经营资格的国内独立法人（证明文件：须提供营业执照复印件并加盖投标人公章，原件备查</w:t>
      </w:r>
      <w:r>
        <w:rPr>
          <w:rFonts w:hint="eastAsia" w:cs="Times New Roman"/>
          <w:b w:val="0"/>
          <w:bCs w:val="0"/>
          <w:kern w:val="2"/>
          <w:szCs w:val="20"/>
          <w:highlight w:val="none"/>
        </w:rPr>
        <w:t>）；</w:t>
      </w:r>
    </w:p>
    <w:p>
      <w:pPr>
        <w:tabs>
          <w:tab w:val="clear" w:pos="426"/>
        </w:tabs>
        <w:ind w:firstLine="424" w:firstLineChars="202"/>
        <w:rPr>
          <w:rFonts w:cs="Times New Roman"/>
          <w:b w:val="0"/>
          <w:bCs w:val="0"/>
          <w:kern w:val="2"/>
          <w:szCs w:val="20"/>
          <w:highlight w:val="none"/>
        </w:rPr>
      </w:pPr>
      <w:r>
        <w:rPr>
          <w:rFonts w:hint="eastAsia" w:cs="Times New Roman"/>
          <w:b w:val="0"/>
          <w:bCs w:val="0"/>
          <w:kern w:val="2"/>
          <w:szCs w:val="20"/>
          <w:highlight w:val="none"/>
        </w:rPr>
        <w:t>（2）</w:t>
      </w:r>
      <w:r>
        <w:rPr>
          <w:rFonts w:hint="eastAsia"/>
          <w:b w:val="0"/>
          <w:bCs w:val="0"/>
          <w:highlight w:val="none"/>
        </w:rPr>
        <w:t>投标人必须具有深圳市政府采购注册供应商资格（供应商注册网址http://www.szzfcg.cn，投标文件中无需提供证明材料。采购代理机构将在开标当天从供应商资料库里查询本项目所有投标人的注册状态，投标人注册状态无效的，将按资格不符合招标文件要求，作资格审查不通过处理）；</w:t>
      </w:r>
    </w:p>
    <w:p>
      <w:pPr>
        <w:tabs>
          <w:tab w:val="clear" w:pos="426"/>
        </w:tabs>
        <w:ind w:firstLine="424" w:firstLineChars="202"/>
        <w:rPr>
          <w:rFonts w:cs="Times New Roman"/>
          <w:kern w:val="2"/>
          <w:szCs w:val="20"/>
          <w:highlight w:val="none"/>
        </w:rPr>
      </w:pPr>
      <w:r>
        <w:rPr>
          <w:rFonts w:hint="eastAsia" w:cs="Times New Roman"/>
          <w:kern w:val="2"/>
          <w:szCs w:val="20"/>
          <w:highlight w:val="none"/>
        </w:rPr>
        <w:t>（3）投标人</w:t>
      </w:r>
      <w:r>
        <w:rPr>
          <w:rFonts w:cs="Times New Roman"/>
          <w:kern w:val="2"/>
          <w:szCs w:val="20"/>
          <w:highlight w:val="none"/>
        </w:rPr>
        <w:t>必须</w:t>
      </w:r>
      <w:r>
        <w:rPr>
          <w:rFonts w:hint="eastAsia" w:cs="Times New Roman"/>
          <w:kern w:val="2"/>
          <w:szCs w:val="20"/>
          <w:highlight w:val="none"/>
        </w:rPr>
        <w:t>承诺参与本项目投标前三年内，在经营活动中没有重大违法记录，以及参与本项目政府采购活动时不存在被有关部门禁止参与政府采购活动且在有效期内的情况。（提供</w:t>
      </w:r>
      <w:r>
        <w:rPr>
          <w:rFonts w:hint="eastAsia"/>
          <w:bCs/>
          <w:szCs w:val="21"/>
          <w:highlight w:val="none"/>
        </w:rPr>
        <w:t>政府采购投标及履约承诺函</w:t>
      </w:r>
      <w:r>
        <w:rPr>
          <w:rFonts w:hint="eastAsia" w:cs="Times New Roman"/>
          <w:kern w:val="2"/>
          <w:szCs w:val="20"/>
          <w:highlight w:val="none"/>
        </w:rPr>
        <w:t>，承诺函格式详见招标文件第五章投标文件格式、附件 “</w:t>
      </w:r>
      <w:r>
        <w:rPr>
          <w:rFonts w:hint="eastAsia"/>
          <w:bCs/>
          <w:szCs w:val="21"/>
          <w:highlight w:val="none"/>
        </w:rPr>
        <w:t>政府采购投标及履约承诺函</w:t>
      </w:r>
      <w:r>
        <w:rPr>
          <w:rFonts w:hint="eastAsia" w:cs="Times New Roman"/>
          <w:kern w:val="2"/>
          <w:szCs w:val="20"/>
          <w:highlight w:val="none"/>
        </w:rPr>
        <w:t>”）；</w:t>
      </w:r>
    </w:p>
    <w:p>
      <w:pPr>
        <w:tabs>
          <w:tab w:val="clear" w:pos="426"/>
        </w:tabs>
        <w:ind w:firstLine="424" w:firstLineChars="202"/>
        <w:rPr>
          <w:highlight w:val="none"/>
        </w:rPr>
      </w:pPr>
      <w:r>
        <w:rPr>
          <w:rFonts w:hint="eastAsia" w:cs="Times New Roman"/>
          <w:kern w:val="2"/>
          <w:szCs w:val="20"/>
          <w:highlight w:val="none"/>
        </w:rPr>
        <w:t>（4）</w:t>
      </w:r>
      <w:r>
        <w:rPr>
          <w:highlight w:val="none"/>
        </w:rPr>
        <w:t>参与本项目政府采购活动时不存在被有关部门禁止参与政府采购活动且在有效期内的情况（由供应商在《政府采购投标及履约承诺函》中作出声明）；</w:t>
      </w:r>
    </w:p>
    <w:p>
      <w:pPr>
        <w:tabs>
          <w:tab w:val="clear" w:pos="426"/>
        </w:tabs>
        <w:ind w:firstLine="424" w:firstLineChars="202"/>
        <w:rPr>
          <w:rFonts w:cs="Times New Roman"/>
          <w:kern w:val="2"/>
          <w:szCs w:val="20"/>
          <w:highlight w:val="none"/>
        </w:rPr>
      </w:pPr>
      <w:r>
        <w:rPr>
          <w:rFonts w:hint="eastAsia"/>
          <w:highlight w:val="none"/>
        </w:rPr>
        <w:t>（5）</w:t>
      </w:r>
      <w:r>
        <w:rPr>
          <w:highlight w:val="none"/>
        </w:rPr>
        <w:t>参与本项目的供应商具备《中华人民共和国政府采购法》第二十二条第一款规定的条件（由供应商在《政府采购投标及履约承诺函》中作出声明）</w:t>
      </w:r>
    </w:p>
    <w:p>
      <w:pPr>
        <w:tabs>
          <w:tab w:val="clear" w:pos="426"/>
        </w:tabs>
        <w:ind w:firstLine="424" w:firstLineChars="202"/>
        <w:rPr>
          <w:highlight w:val="none"/>
        </w:rPr>
      </w:pPr>
      <w:r>
        <w:rPr>
          <w:rFonts w:hint="eastAsia"/>
          <w:highlight w:val="none"/>
        </w:rPr>
        <w:t>（6）近三年内（即招标公告发布之日起倒推三年，供应商成立不足三年的可从成立之日起算）无行贿犯罪记录，（由深圳市政府采购中心定期向市人民检察院申请对政府采购供应商中注册有效的供应商进行集中查询，无须单独开具《行贿犯罪档案查询告知函》）；</w:t>
      </w:r>
    </w:p>
    <w:p>
      <w:pPr>
        <w:tabs>
          <w:tab w:val="clear" w:pos="426"/>
        </w:tabs>
        <w:ind w:firstLine="424" w:firstLineChars="202"/>
        <w:rPr>
          <w:rFonts w:cs="Times New Roman"/>
          <w:b w:val="0"/>
          <w:bCs w:val="0"/>
          <w:kern w:val="2"/>
          <w:szCs w:val="20"/>
          <w:highlight w:val="none"/>
        </w:rPr>
      </w:pPr>
      <w:r>
        <w:rPr>
          <w:rFonts w:hint="eastAsia" w:cs="Times New Roman"/>
          <w:b w:val="0"/>
          <w:bCs w:val="0"/>
          <w:kern w:val="2"/>
          <w:szCs w:val="20"/>
          <w:highlight w:val="none"/>
        </w:rPr>
        <w:t>（7）本项目不接受进口产品投标；</w:t>
      </w:r>
    </w:p>
    <w:p>
      <w:pPr>
        <w:tabs>
          <w:tab w:val="clear" w:pos="426"/>
        </w:tabs>
        <w:ind w:firstLine="424" w:firstLineChars="202"/>
        <w:rPr>
          <w:rFonts w:cs="Times New Roman"/>
          <w:b w:val="0"/>
          <w:bCs w:val="0"/>
          <w:kern w:val="2"/>
          <w:szCs w:val="20"/>
          <w:highlight w:val="none"/>
        </w:rPr>
      </w:pPr>
      <w:r>
        <w:rPr>
          <w:rFonts w:hint="eastAsia" w:cs="Times New Roman"/>
          <w:b w:val="0"/>
          <w:bCs w:val="0"/>
          <w:kern w:val="2"/>
          <w:szCs w:val="20"/>
          <w:highlight w:val="none"/>
        </w:rPr>
        <w:t>（8）本项目不接受联合体投标人，不允许转包、分包。</w:t>
      </w:r>
    </w:p>
    <w:p>
      <w:pPr>
        <w:widowControl w:val="0"/>
        <w:shd w:val="clear" w:color="auto" w:fill="auto"/>
        <w:tabs>
          <w:tab w:val="clear" w:pos="426"/>
        </w:tabs>
        <w:adjustRightInd/>
        <w:snapToGrid/>
        <w:rPr>
          <w:rFonts w:ascii="Times New Roman" w:hAnsi="Times New Roman" w:cs="Times New Roman"/>
          <w:b/>
          <w:color w:val="000000" w:themeColor="text1"/>
          <w:kern w:val="2"/>
          <w:szCs w:val="21"/>
          <w:highlight w:val="none"/>
        </w:rPr>
      </w:pPr>
      <w:r>
        <w:rPr>
          <w:rFonts w:hint="eastAsia" w:ascii="Times New Roman" w:hAnsi="Times New Roman" w:cs="Times New Roman"/>
          <w:b/>
          <w:kern w:val="2"/>
          <w:szCs w:val="21"/>
          <w:highlight w:val="none"/>
        </w:rPr>
        <w:t>三</w:t>
      </w:r>
      <w:r>
        <w:rPr>
          <w:rFonts w:hint="eastAsia" w:ascii="Times New Roman" w:hAnsi="Times New Roman" w:cs="Times New Roman"/>
          <w:b/>
          <w:color w:val="000000" w:themeColor="text1"/>
          <w:kern w:val="2"/>
          <w:szCs w:val="21"/>
          <w:highlight w:val="none"/>
        </w:rPr>
        <w:t>、获取招标文件的时间、地点、方式及招标文件售价</w:t>
      </w:r>
    </w:p>
    <w:p>
      <w:pPr>
        <w:tabs>
          <w:tab w:val="clear" w:pos="426"/>
        </w:tabs>
        <w:ind w:firstLine="424" w:firstLineChars="202"/>
        <w:rPr>
          <w:b w:val="0"/>
          <w:bCs w:val="0"/>
          <w:color w:val="000000" w:themeColor="text1"/>
          <w:highlight w:val="none"/>
        </w:rPr>
      </w:pPr>
      <w:r>
        <w:rPr>
          <w:b w:val="0"/>
          <w:bCs w:val="0"/>
          <w:color w:val="000000" w:themeColor="text1"/>
          <w:highlight w:val="none"/>
        </w:rPr>
        <w:t>1</w:t>
      </w:r>
      <w:r>
        <w:rPr>
          <w:rFonts w:hint="eastAsia"/>
          <w:b w:val="0"/>
          <w:bCs w:val="0"/>
          <w:color w:val="000000" w:themeColor="text1"/>
          <w:highlight w:val="none"/>
        </w:rPr>
        <w:t>.获取招标文件时间：</w:t>
      </w:r>
      <w:r>
        <w:rPr>
          <w:rFonts w:hint="eastAsia"/>
          <w:b w:val="0"/>
          <w:bCs w:val="0"/>
          <w:color w:val="000000" w:themeColor="text1"/>
          <w:highlight w:val="none"/>
          <w:u w:val="single"/>
        </w:rPr>
        <w:t>2019</w:t>
      </w:r>
      <w:r>
        <w:rPr>
          <w:rFonts w:hint="eastAsia"/>
          <w:b w:val="0"/>
          <w:bCs w:val="0"/>
          <w:color w:val="000000" w:themeColor="text1"/>
          <w:highlight w:val="none"/>
        </w:rPr>
        <w:t>年</w:t>
      </w:r>
      <w:r>
        <w:rPr>
          <w:rFonts w:hint="eastAsia"/>
          <w:b w:val="0"/>
          <w:bCs w:val="0"/>
          <w:color w:val="000000" w:themeColor="text1"/>
          <w:highlight w:val="none"/>
          <w:u w:val="single"/>
          <w:lang w:val="en-US" w:eastAsia="zh-CN"/>
        </w:rPr>
        <w:t>6</w:t>
      </w:r>
      <w:r>
        <w:rPr>
          <w:rFonts w:hint="eastAsia"/>
          <w:b w:val="0"/>
          <w:bCs w:val="0"/>
          <w:color w:val="000000" w:themeColor="text1"/>
          <w:highlight w:val="none"/>
        </w:rPr>
        <w:t>月</w:t>
      </w:r>
      <w:r>
        <w:rPr>
          <w:rFonts w:hint="eastAsia"/>
          <w:b w:val="0"/>
          <w:bCs w:val="0"/>
          <w:color w:val="000000" w:themeColor="text1"/>
          <w:highlight w:val="none"/>
          <w:u w:val="single"/>
          <w:lang w:val="en-US" w:eastAsia="zh-CN"/>
        </w:rPr>
        <w:t>25</w:t>
      </w:r>
      <w:r>
        <w:rPr>
          <w:rFonts w:hint="eastAsia"/>
          <w:b w:val="0"/>
          <w:bCs w:val="0"/>
          <w:color w:val="000000" w:themeColor="text1"/>
          <w:highlight w:val="none"/>
        </w:rPr>
        <w:t>日起至</w:t>
      </w:r>
      <w:r>
        <w:rPr>
          <w:rFonts w:hint="eastAsia"/>
          <w:b w:val="0"/>
          <w:bCs w:val="0"/>
          <w:color w:val="000000" w:themeColor="text1"/>
          <w:highlight w:val="none"/>
          <w:u w:val="single"/>
        </w:rPr>
        <w:t>2019</w:t>
      </w:r>
      <w:r>
        <w:rPr>
          <w:rFonts w:hint="eastAsia"/>
          <w:b w:val="0"/>
          <w:bCs w:val="0"/>
          <w:color w:val="000000" w:themeColor="text1"/>
          <w:highlight w:val="none"/>
        </w:rPr>
        <w:t>年</w:t>
      </w:r>
      <w:r>
        <w:rPr>
          <w:rFonts w:hint="eastAsia"/>
          <w:b w:val="0"/>
          <w:bCs w:val="0"/>
          <w:color w:val="000000" w:themeColor="text1"/>
          <w:highlight w:val="none"/>
          <w:u w:val="single"/>
          <w:lang w:val="en-US" w:eastAsia="zh-CN"/>
        </w:rPr>
        <w:t>7</w:t>
      </w:r>
      <w:r>
        <w:rPr>
          <w:rFonts w:hint="eastAsia"/>
          <w:b w:val="0"/>
          <w:bCs w:val="0"/>
          <w:color w:val="000000" w:themeColor="text1"/>
          <w:highlight w:val="none"/>
        </w:rPr>
        <w:t>月</w:t>
      </w:r>
      <w:r>
        <w:rPr>
          <w:rFonts w:hint="eastAsia"/>
          <w:b w:val="0"/>
          <w:bCs w:val="0"/>
          <w:color w:val="000000" w:themeColor="text1"/>
          <w:highlight w:val="none"/>
          <w:u w:val="single"/>
          <w:lang w:val="en-US" w:eastAsia="zh-CN"/>
        </w:rPr>
        <w:t>1</w:t>
      </w:r>
      <w:r>
        <w:rPr>
          <w:rFonts w:hint="eastAsia"/>
          <w:b w:val="0"/>
          <w:bCs w:val="0"/>
          <w:color w:val="000000" w:themeColor="text1"/>
          <w:highlight w:val="none"/>
        </w:rPr>
        <w:t>日（节假日除外），</w:t>
      </w:r>
      <w:r>
        <w:rPr>
          <w:rFonts w:hint="eastAsia"/>
          <w:b w:val="0"/>
          <w:bCs w:val="0"/>
          <w:color w:val="000000" w:themeColor="text1"/>
          <w:highlight w:val="none"/>
          <w:u w:val="single"/>
        </w:rPr>
        <w:t xml:space="preserve"> 09:00</w:t>
      </w:r>
      <w:r>
        <w:rPr>
          <w:rFonts w:hint="eastAsia"/>
          <w:b w:val="0"/>
          <w:bCs w:val="0"/>
          <w:color w:val="000000" w:themeColor="text1"/>
          <w:highlight w:val="none"/>
        </w:rPr>
        <w:t>～</w:t>
      </w:r>
      <w:r>
        <w:rPr>
          <w:rFonts w:hint="eastAsia"/>
          <w:b w:val="0"/>
          <w:bCs w:val="0"/>
          <w:color w:val="000000" w:themeColor="text1"/>
          <w:highlight w:val="none"/>
          <w:u w:val="single"/>
        </w:rPr>
        <w:t>11:30</w:t>
      </w:r>
      <w:r>
        <w:rPr>
          <w:rFonts w:hint="eastAsia"/>
          <w:b w:val="0"/>
          <w:bCs w:val="0"/>
          <w:color w:val="000000" w:themeColor="text1"/>
          <w:highlight w:val="none"/>
        </w:rPr>
        <w:t>或</w:t>
      </w:r>
      <w:r>
        <w:rPr>
          <w:rFonts w:hint="eastAsia"/>
          <w:b w:val="0"/>
          <w:bCs w:val="0"/>
          <w:color w:val="000000" w:themeColor="text1"/>
          <w:highlight w:val="none"/>
          <w:u w:val="single"/>
        </w:rPr>
        <w:t>14:00</w:t>
      </w:r>
      <w:r>
        <w:rPr>
          <w:rFonts w:hint="eastAsia"/>
          <w:b w:val="0"/>
          <w:bCs w:val="0"/>
          <w:color w:val="000000" w:themeColor="text1"/>
          <w:highlight w:val="none"/>
        </w:rPr>
        <w:t>～</w:t>
      </w:r>
      <w:r>
        <w:rPr>
          <w:rFonts w:hint="eastAsia"/>
          <w:b w:val="0"/>
          <w:bCs w:val="0"/>
          <w:color w:val="000000" w:themeColor="text1"/>
          <w:highlight w:val="none"/>
          <w:u w:val="single"/>
        </w:rPr>
        <w:t>17:30</w:t>
      </w:r>
      <w:r>
        <w:rPr>
          <w:rFonts w:hint="eastAsia"/>
          <w:b w:val="0"/>
          <w:bCs w:val="0"/>
          <w:color w:val="000000" w:themeColor="text1"/>
          <w:highlight w:val="none"/>
        </w:rPr>
        <w:t>（北京时间）。</w:t>
      </w:r>
    </w:p>
    <w:p>
      <w:pPr>
        <w:tabs>
          <w:tab w:val="clear" w:pos="426"/>
        </w:tabs>
        <w:ind w:firstLine="424" w:firstLineChars="202"/>
        <w:rPr>
          <w:highlight w:val="none"/>
        </w:rPr>
      </w:pPr>
      <w:r>
        <w:rPr>
          <w:highlight w:val="none"/>
        </w:rPr>
        <w:t>2</w:t>
      </w:r>
      <w:r>
        <w:rPr>
          <w:rFonts w:hint="eastAsia"/>
          <w:highlight w:val="none"/>
        </w:rPr>
        <w:t>.获取招标文件地点：深圳市罗湖区布吉路1028号中设广场B座307。</w:t>
      </w:r>
    </w:p>
    <w:p>
      <w:pPr>
        <w:tabs>
          <w:tab w:val="clear" w:pos="426"/>
        </w:tabs>
        <w:ind w:firstLine="424" w:firstLineChars="202"/>
        <w:rPr>
          <w:highlight w:val="none"/>
        </w:rPr>
      </w:pPr>
      <w:r>
        <w:rPr>
          <w:highlight w:val="none"/>
        </w:rPr>
        <w:t>3</w:t>
      </w:r>
      <w:r>
        <w:rPr>
          <w:rFonts w:hint="eastAsia"/>
          <w:highlight w:val="none"/>
        </w:rPr>
        <w:t>.获取招标文件方式：现场购买或邮购。</w:t>
      </w:r>
    </w:p>
    <w:p>
      <w:pPr>
        <w:tabs>
          <w:tab w:val="clear" w:pos="426"/>
        </w:tabs>
        <w:ind w:firstLine="424" w:firstLineChars="202"/>
        <w:rPr>
          <w:highlight w:val="none"/>
        </w:rPr>
      </w:pPr>
      <w:r>
        <w:rPr>
          <w:highlight w:val="none"/>
        </w:rPr>
        <w:t>4</w:t>
      </w:r>
      <w:r>
        <w:rPr>
          <w:rFonts w:hint="eastAsia"/>
          <w:highlight w:val="none"/>
        </w:rPr>
        <w:t>.招标文件售价：每套人民币5</w:t>
      </w:r>
      <w:r>
        <w:rPr>
          <w:highlight w:val="none"/>
        </w:rPr>
        <w:t>00</w:t>
      </w:r>
      <w:r>
        <w:rPr>
          <w:rFonts w:hint="eastAsia"/>
          <w:highlight w:val="none"/>
        </w:rPr>
        <w:t>元</w:t>
      </w:r>
      <w:r>
        <w:rPr>
          <w:rFonts w:hint="eastAsia"/>
          <w:b/>
          <w:highlight w:val="none"/>
        </w:rPr>
        <w:t>（现金）</w:t>
      </w:r>
      <w:r>
        <w:rPr>
          <w:rFonts w:hint="eastAsia"/>
          <w:highlight w:val="none"/>
        </w:rPr>
        <w:t>；若邮购，每份加收人民币</w:t>
      </w:r>
      <w:r>
        <w:rPr>
          <w:highlight w:val="none"/>
        </w:rPr>
        <w:t>50元</w:t>
      </w:r>
      <w:r>
        <w:rPr>
          <w:rFonts w:hint="eastAsia"/>
          <w:highlight w:val="none"/>
        </w:rPr>
        <w:t>。招标文件售后不退。</w:t>
      </w:r>
    </w:p>
    <w:p>
      <w:pPr>
        <w:tabs>
          <w:tab w:val="clear" w:pos="426"/>
        </w:tabs>
        <w:ind w:firstLine="424" w:firstLineChars="202"/>
        <w:rPr>
          <w:highlight w:val="none"/>
        </w:rPr>
      </w:pPr>
      <w:r>
        <w:rPr>
          <w:rFonts w:hint="eastAsia"/>
          <w:highlight w:val="none"/>
        </w:rPr>
        <w:t>5.现场报名时提交以下资料：</w:t>
      </w:r>
    </w:p>
    <w:p>
      <w:pPr>
        <w:tabs>
          <w:tab w:val="clear" w:pos="426"/>
        </w:tabs>
        <w:ind w:firstLine="424" w:firstLineChars="202"/>
        <w:rPr>
          <w:highlight w:val="none"/>
        </w:rPr>
      </w:pPr>
      <w:r>
        <w:rPr>
          <w:rFonts w:hint="eastAsia"/>
          <w:highlight w:val="none"/>
        </w:rPr>
        <w:t>（1）投标人的营业执照复印件；</w:t>
      </w:r>
    </w:p>
    <w:p>
      <w:pPr>
        <w:tabs>
          <w:tab w:val="clear" w:pos="426"/>
        </w:tabs>
        <w:ind w:firstLine="424" w:firstLineChars="202"/>
        <w:rPr>
          <w:highlight w:val="none"/>
        </w:rPr>
      </w:pPr>
      <w:r>
        <w:rPr>
          <w:rFonts w:hint="eastAsia"/>
          <w:highlight w:val="none"/>
        </w:rPr>
        <w:t>（2）法人代表证明书原件、授权委托书原件、被授权委托人身份证复印件、被授权委托人联系方式</w:t>
      </w:r>
      <w:r>
        <w:rPr>
          <w:rFonts w:hint="eastAsia"/>
          <w:b/>
          <w:highlight w:val="none"/>
        </w:rPr>
        <w:t>（电话、邮箱）</w:t>
      </w:r>
      <w:r>
        <w:rPr>
          <w:rFonts w:hint="eastAsia"/>
          <w:highlight w:val="none"/>
        </w:rPr>
        <w:t>；</w:t>
      </w:r>
    </w:p>
    <w:p>
      <w:pPr>
        <w:tabs>
          <w:tab w:val="clear" w:pos="426"/>
        </w:tabs>
        <w:ind w:firstLine="424" w:firstLineChars="202"/>
        <w:rPr>
          <w:highlight w:val="none"/>
        </w:rPr>
      </w:pPr>
      <w:r>
        <w:rPr>
          <w:rFonts w:hint="eastAsia"/>
          <w:highlight w:val="none"/>
        </w:rPr>
        <w:t>（</w:t>
      </w:r>
      <w:r>
        <w:rPr>
          <w:highlight w:val="none"/>
        </w:rPr>
        <w:t>3）投标人的增值税发票开票（信息）资料；</w:t>
      </w:r>
    </w:p>
    <w:p>
      <w:pPr>
        <w:tabs>
          <w:tab w:val="clear" w:pos="426"/>
        </w:tabs>
        <w:ind w:firstLine="424" w:firstLineChars="202"/>
        <w:rPr>
          <w:rFonts w:hint="default" w:eastAsia="宋体"/>
          <w:highlight w:val="none"/>
          <w:lang w:val="en-US" w:eastAsia="zh-CN"/>
        </w:rPr>
      </w:pPr>
      <w:r>
        <w:rPr>
          <w:rFonts w:hint="eastAsia"/>
          <w:highlight w:val="none"/>
          <w:lang w:eastAsia="zh-CN"/>
        </w:rPr>
        <w:t>（</w:t>
      </w:r>
      <w:r>
        <w:rPr>
          <w:rFonts w:hint="eastAsia"/>
          <w:highlight w:val="none"/>
          <w:lang w:val="en-US" w:eastAsia="zh-CN"/>
        </w:rPr>
        <w:t>4</w:t>
      </w:r>
      <w:r>
        <w:rPr>
          <w:rFonts w:hint="eastAsia"/>
          <w:highlight w:val="none"/>
          <w:lang w:eastAsia="zh-CN"/>
        </w:rPr>
        <w:t>）内存大于</w:t>
      </w:r>
      <w:r>
        <w:rPr>
          <w:rFonts w:hint="eastAsia"/>
          <w:highlight w:val="none"/>
          <w:lang w:val="en-US" w:eastAsia="zh-CN"/>
        </w:rPr>
        <w:t>10G的U盘（拷贝设计素材）；</w:t>
      </w:r>
    </w:p>
    <w:p>
      <w:pPr>
        <w:tabs>
          <w:tab w:val="clear" w:pos="426"/>
        </w:tabs>
        <w:ind w:firstLine="424" w:firstLineChars="202"/>
        <w:rPr>
          <w:highlight w:val="none"/>
        </w:rPr>
      </w:pPr>
      <w:r>
        <w:rPr>
          <w:rFonts w:hint="eastAsia"/>
          <w:highlight w:val="none"/>
        </w:rPr>
        <w:t>以上资料均需加盖公章，原件中标备查。</w:t>
      </w:r>
    </w:p>
    <w:p>
      <w:pPr>
        <w:tabs>
          <w:tab w:val="clear" w:pos="426"/>
        </w:tabs>
        <w:ind w:firstLine="424" w:firstLineChars="202"/>
        <w:rPr>
          <w:highlight w:val="none"/>
        </w:rPr>
      </w:pPr>
      <w:r>
        <w:rPr>
          <w:rFonts w:hint="eastAsia"/>
          <w:highlight w:val="none"/>
        </w:rPr>
        <w:t>如需邮购，请于办理汇款手续后，快递上述报名资料、汇款凭证至采购代理机构。</w:t>
      </w: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四、投标截止时间、开标时间及地点</w:t>
      </w:r>
    </w:p>
    <w:p>
      <w:pPr>
        <w:tabs>
          <w:tab w:val="clear" w:pos="426"/>
        </w:tabs>
        <w:ind w:firstLine="426" w:firstLineChars="202"/>
        <w:rPr>
          <w:b/>
          <w:bCs/>
          <w:color w:val="000000" w:themeColor="text1"/>
          <w:highlight w:val="none"/>
        </w:rPr>
      </w:pPr>
      <w:r>
        <w:rPr>
          <w:b/>
          <w:bCs/>
          <w:color w:val="000000" w:themeColor="text1"/>
          <w:highlight w:val="none"/>
        </w:rPr>
        <w:t>1</w:t>
      </w:r>
      <w:r>
        <w:rPr>
          <w:rFonts w:hint="eastAsia"/>
          <w:b/>
          <w:bCs/>
          <w:color w:val="000000" w:themeColor="text1"/>
          <w:highlight w:val="none"/>
        </w:rPr>
        <w:t>.递交投标文件时间：</w:t>
      </w:r>
      <w:r>
        <w:rPr>
          <w:rFonts w:hint="eastAsia"/>
          <w:b/>
          <w:bCs/>
          <w:color w:val="000000" w:themeColor="text1"/>
          <w:highlight w:val="none"/>
          <w:u w:val="single"/>
        </w:rPr>
        <w:t>2019</w:t>
      </w:r>
      <w:r>
        <w:rPr>
          <w:rFonts w:hint="eastAsia"/>
          <w:b/>
          <w:bCs/>
          <w:color w:val="000000" w:themeColor="text1"/>
          <w:highlight w:val="none"/>
        </w:rPr>
        <w:t>年</w:t>
      </w:r>
      <w:r>
        <w:rPr>
          <w:rFonts w:hint="eastAsia"/>
          <w:b/>
          <w:bCs/>
          <w:color w:val="000000" w:themeColor="text1"/>
          <w:highlight w:val="none"/>
          <w:u w:val="single"/>
          <w:lang w:val="en-US" w:eastAsia="zh-CN"/>
        </w:rPr>
        <w:t>7</w:t>
      </w:r>
      <w:r>
        <w:rPr>
          <w:rFonts w:hint="eastAsia"/>
          <w:b/>
          <w:bCs/>
          <w:color w:val="000000" w:themeColor="text1"/>
          <w:highlight w:val="none"/>
        </w:rPr>
        <w:t>月</w:t>
      </w:r>
      <w:r>
        <w:rPr>
          <w:rFonts w:hint="eastAsia"/>
          <w:b/>
          <w:bCs/>
          <w:color w:val="000000" w:themeColor="text1"/>
          <w:highlight w:val="none"/>
          <w:u w:val="single"/>
          <w:lang w:val="en-US" w:eastAsia="zh-CN"/>
        </w:rPr>
        <w:t>8</w:t>
      </w:r>
      <w:r>
        <w:rPr>
          <w:rFonts w:hint="eastAsia"/>
          <w:b/>
          <w:bCs/>
          <w:color w:val="000000" w:themeColor="text1"/>
          <w:highlight w:val="none"/>
        </w:rPr>
        <w:t>日</w:t>
      </w:r>
      <w:r>
        <w:rPr>
          <w:rFonts w:hint="eastAsia"/>
          <w:b/>
          <w:bCs/>
          <w:color w:val="000000" w:themeColor="text1"/>
          <w:highlight w:val="none"/>
          <w:u w:val="single"/>
        </w:rPr>
        <w:t>14:00</w:t>
      </w:r>
      <w:r>
        <w:rPr>
          <w:rFonts w:hint="eastAsia"/>
          <w:b/>
          <w:bCs/>
          <w:color w:val="000000" w:themeColor="text1"/>
          <w:highlight w:val="none"/>
        </w:rPr>
        <w:t>～</w:t>
      </w:r>
      <w:r>
        <w:rPr>
          <w:rFonts w:hint="eastAsia"/>
          <w:b/>
          <w:bCs/>
          <w:color w:val="000000" w:themeColor="text1"/>
          <w:highlight w:val="none"/>
          <w:u w:val="single"/>
        </w:rPr>
        <w:t>14:30</w:t>
      </w:r>
      <w:r>
        <w:rPr>
          <w:rFonts w:hint="eastAsia"/>
          <w:b/>
          <w:bCs/>
          <w:color w:val="000000" w:themeColor="text1"/>
          <w:highlight w:val="none"/>
        </w:rPr>
        <w:t>。</w:t>
      </w:r>
    </w:p>
    <w:p>
      <w:pPr>
        <w:tabs>
          <w:tab w:val="clear" w:pos="426"/>
        </w:tabs>
        <w:ind w:firstLine="426" w:firstLineChars="202"/>
        <w:rPr>
          <w:b/>
          <w:bCs/>
          <w:color w:val="000000" w:themeColor="text1"/>
          <w:highlight w:val="none"/>
        </w:rPr>
      </w:pPr>
      <w:r>
        <w:rPr>
          <w:b/>
          <w:bCs/>
          <w:color w:val="000000" w:themeColor="text1"/>
          <w:highlight w:val="none"/>
        </w:rPr>
        <w:t>2</w:t>
      </w:r>
      <w:r>
        <w:rPr>
          <w:rFonts w:hint="eastAsia"/>
          <w:b/>
          <w:bCs/>
          <w:color w:val="000000" w:themeColor="text1"/>
          <w:highlight w:val="none"/>
        </w:rPr>
        <w:t>.投标截止及开标时间：</w:t>
      </w:r>
      <w:r>
        <w:rPr>
          <w:rFonts w:hint="eastAsia"/>
          <w:b/>
          <w:bCs/>
          <w:color w:val="000000" w:themeColor="text1"/>
          <w:highlight w:val="none"/>
          <w:u w:val="single"/>
        </w:rPr>
        <w:t>2019</w:t>
      </w:r>
      <w:r>
        <w:rPr>
          <w:rFonts w:hint="eastAsia"/>
          <w:b/>
          <w:bCs/>
          <w:color w:val="000000" w:themeColor="text1"/>
          <w:highlight w:val="none"/>
        </w:rPr>
        <w:t>年</w:t>
      </w:r>
      <w:r>
        <w:rPr>
          <w:rFonts w:hint="eastAsia"/>
          <w:b/>
          <w:bCs/>
          <w:color w:val="000000" w:themeColor="text1"/>
          <w:highlight w:val="none"/>
          <w:u w:val="single"/>
          <w:lang w:val="en-US" w:eastAsia="zh-CN"/>
        </w:rPr>
        <w:t>7</w:t>
      </w:r>
      <w:r>
        <w:rPr>
          <w:rFonts w:hint="eastAsia"/>
          <w:b/>
          <w:bCs/>
          <w:color w:val="000000" w:themeColor="text1"/>
          <w:highlight w:val="none"/>
        </w:rPr>
        <w:t>月</w:t>
      </w:r>
      <w:r>
        <w:rPr>
          <w:rFonts w:hint="eastAsia"/>
          <w:b/>
          <w:bCs/>
          <w:color w:val="000000" w:themeColor="text1"/>
          <w:highlight w:val="none"/>
          <w:u w:val="single"/>
          <w:lang w:val="en-US" w:eastAsia="zh-CN"/>
        </w:rPr>
        <w:t>8</w:t>
      </w:r>
      <w:r>
        <w:rPr>
          <w:rFonts w:hint="eastAsia"/>
          <w:b/>
          <w:bCs/>
          <w:color w:val="000000" w:themeColor="text1"/>
          <w:highlight w:val="none"/>
        </w:rPr>
        <w:t>日</w:t>
      </w:r>
      <w:r>
        <w:rPr>
          <w:rFonts w:hint="eastAsia"/>
          <w:b/>
          <w:bCs/>
          <w:color w:val="000000" w:themeColor="text1"/>
          <w:highlight w:val="none"/>
          <w:u w:val="single"/>
        </w:rPr>
        <w:t>14</w:t>
      </w:r>
      <w:r>
        <w:rPr>
          <w:rFonts w:hint="eastAsia"/>
          <w:b/>
          <w:bCs/>
          <w:color w:val="000000" w:themeColor="text1"/>
          <w:highlight w:val="none"/>
        </w:rPr>
        <w:t>时</w:t>
      </w:r>
      <w:r>
        <w:rPr>
          <w:rFonts w:hint="eastAsia"/>
          <w:b/>
          <w:bCs/>
          <w:color w:val="000000" w:themeColor="text1"/>
          <w:highlight w:val="none"/>
          <w:u w:val="single"/>
        </w:rPr>
        <w:t>30</w:t>
      </w:r>
      <w:r>
        <w:rPr>
          <w:rFonts w:hint="eastAsia"/>
          <w:b/>
          <w:bCs/>
          <w:color w:val="000000" w:themeColor="text1"/>
          <w:highlight w:val="none"/>
        </w:rPr>
        <w:t>分。</w:t>
      </w:r>
    </w:p>
    <w:p>
      <w:pPr>
        <w:tabs>
          <w:tab w:val="clear" w:pos="426"/>
        </w:tabs>
        <w:ind w:firstLine="424" w:firstLineChars="202"/>
        <w:rPr>
          <w:highlight w:val="none"/>
        </w:rPr>
      </w:pPr>
      <w:r>
        <w:rPr>
          <w:highlight w:val="none"/>
        </w:rPr>
        <w:t>3</w:t>
      </w:r>
      <w:r>
        <w:rPr>
          <w:rFonts w:hint="eastAsia"/>
          <w:highlight w:val="none"/>
        </w:rPr>
        <w:t>.开标地点：深圳市罗湖区布吉路1028号中设广场B座30</w:t>
      </w:r>
      <w:r>
        <w:rPr>
          <w:highlight w:val="none"/>
        </w:rPr>
        <w:t>7</w:t>
      </w:r>
      <w:r>
        <w:rPr>
          <w:rFonts w:hint="eastAsia"/>
          <w:highlight w:val="none"/>
        </w:rPr>
        <w:t>开标室。</w:t>
      </w: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五、答疑事项</w:t>
      </w:r>
    </w:p>
    <w:p>
      <w:pPr>
        <w:tabs>
          <w:tab w:val="clear" w:pos="426"/>
        </w:tabs>
        <w:ind w:firstLine="424" w:firstLineChars="202"/>
        <w:rPr>
          <w:szCs w:val="21"/>
          <w:highlight w:val="none"/>
        </w:rPr>
      </w:pPr>
      <w:r>
        <w:rPr>
          <w:szCs w:val="21"/>
          <w:highlight w:val="none"/>
        </w:rPr>
        <w:t>1.本项目实行网下纸质答疑，凡对招标文件有任何疑问的（包括认为招标文件的技术指标或参数存在排他性或歧视性条款），</w:t>
      </w:r>
      <w:r>
        <w:rPr>
          <w:b/>
          <w:bCs/>
          <w:szCs w:val="21"/>
          <w:highlight w:val="none"/>
        </w:rPr>
        <w:t>请投标人于</w:t>
      </w:r>
      <w:r>
        <w:rPr>
          <w:rFonts w:hint="eastAsia"/>
          <w:b/>
          <w:bCs/>
          <w:szCs w:val="21"/>
          <w:highlight w:val="none"/>
        </w:rPr>
        <w:t>2019</w:t>
      </w:r>
      <w:r>
        <w:rPr>
          <w:b/>
          <w:bCs/>
          <w:szCs w:val="21"/>
          <w:highlight w:val="none"/>
        </w:rPr>
        <w:t>年</w:t>
      </w:r>
      <w:r>
        <w:rPr>
          <w:rFonts w:hint="eastAsia"/>
          <w:b/>
          <w:bCs/>
          <w:szCs w:val="21"/>
          <w:highlight w:val="none"/>
          <w:lang w:val="en-US" w:eastAsia="zh-CN"/>
        </w:rPr>
        <w:t>7</w:t>
      </w:r>
      <w:r>
        <w:rPr>
          <w:b/>
          <w:bCs/>
          <w:szCs w:val="21"/>
          <w:highlight w:val="none"/>
        </w:rPr>
        <w:t>月</w:t>
      </w:r>
      <w:r>
        <w:rPr>
          <w:rFonts w:hint="eastAsia"/>
          <w:b/>
          <w:bCs/>
          <w:szCs w:val="21"/>
          <w:highlight w:val="none"/>
          <w:lang w:val="en-US" w:eastAsia="zh-CN"/>
        </w:rPr>
        <w:t>3</w:t>
      </w:r>
      <w:r>
        <w:rPr>
          <w:b/>
          <w:bCs/>
          <w:szCs w:val="21"/>
          <w:highlight w:val="none"/>
        </w:rPr>
        <w:t>日17:30前</w:t>
      </w:r>
      <w:r>
        <w:rPr>
          <w:szCs w:val="21"/>
          <w:highlight w:val="none"/>
        </w:rPr>
        <w:t>，根据《深圳经济特区政府采购条例》第六章、《深圳市经济特区政府采购条例实施细则》第六章及深圳市政府采购中心网页http://www.cgzx.sz.gov.cn/zxfw/</w:t>
      </w:r>
      <w:r>
        <w:rPr>
          <w:rFonts w:hint="eastAsia"/>
          <w:szCs w:val="21"/>
          <w:highlight w:val="none"/>
        </w:rPr>
        <w:t>mx</w:t>
      </w:r>
      <w:r>
        <w:rPr>
          <w:szCs w:val="21"/>
          <w:highlight w:val="none"/>
        </w:rPr>
        <w:t>gys/zyzn/所发布的有关质疑的指引及要求填写质疑函件，并将质疑函件以及相关质疑内容的证明材料原件送达深圳市深水水务咨询有限公司，逾期不受理。</w:t>
      </w:r>
    </w:p>
    <w:p>
      <w:pPr>
        <w:tabs>
          <w:tab w:val="clear" w:pos="426"/>
        </w:tabs>
        <w:ind w:firstLine="424" w:firstLineChars="202"/>
        <w:rPr>
          <w:highlight w:val="none"/>
        </w:rPr>
      </w:pPr>
      <w:r>
        <w:rPr>
          <w:szCs w:val="21"/>
          <w:highlight w:val="none"/>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pPr>
        <w:tabs>
          <w:tab w:val="clear" w:pos="426"/>
        </w:tabs>
        <w:rPr>
          <w:b/>
          <w:highlight w:val="none"/>
        </w:rPr>
      </w:pPr>
      <w:r>
        <w:rPr>
          <w:rFonts w:hint="eastAsia"/>
          <w:b/>
          <w:highlight w:val="none"/>
        </w:rPr>
        <w:t>六、相关信息</w:t>
      </w:r>
    </w:p>
    <w:p>
      <w:pPr>
        <w:tabs>
          <w:tab w:val="clear" w:pos="426"/>
        </w:tabs>
        <w:ind w:firstLine="424" w:firstLineChars="202"/>
        <w:rPr>
          <w:highlight w:val="none"/>
        </w:rPr>
      </w:pPr>
      <w:r>
        <w:rPr>
          <w:rFonts w:hint="eastAsia"/>
          <w:highlight w:val="none"/>
        </w:rPr>
        <w:t xml:space="preserve">深圳市政府采购网  </w:t>
      </w:r>
      <w:r>
        <w:rPr>
          <w:highlight w:val="none"/>
        </w:rPr>
        <w:fldChar w:fldCharType="begin"/>
      </w:r>
      <w:r>
        <w:rPr>
          <w:highlight w:val="none"/>
        </w:rPr>
        <w:instrText xml:space="preserve"> HYPERLINK "http://www.szzfcg.cn" </w:instrText>
      </w:r>
      <w:r>
        <w:rPr>
          <w:highlight w:val="none"/>
        </w:rPr>
        <w:fldChar w:fldCharType="separate"/>
      </w:r>
      <w:r>
        <w:rPr>
          <w:rStyle w:val="52"/>
          <w:highlight w:val="none"/>
        </w:rPr>
        <w:t>http://ww</w:t>
      </w:r>
      <w:bookmarkStart w:id="43" w:name="_Hlt249699243"/>
      <w:r>
        <w:rPr>
          <w:rStyle w:val="52"/>
          <w:highlight w:val="none"/>
        </w:rPr>
        <w:t>w</w:t>
      </w:r>
      <w:bookmarkEnd w:id="43"/>
      <w:r>
        <w:rPr>
          <w:rStyle w:val="52"/>
          <w:highlight w:val="none"/>
        </w:rPr>
        <w:t>.szzfcg.cn</w:t>
      </w:r>
      <w:r>
        <w:rPr>
          <w:rStyle w:val="52"/>
          <w:highlight w:val="none"/>
        </w:rPr>
        <w:fldChar w:fldCharType="end"/>
      </w:r>
    </w:p>
    <w:p>
      <w:pPr>
        <w:tabs>
          <w:tab w:val="clear" w:pos="426"/>
        </w:tabs>
        <w:ind w:firstLine="424" w:firstLineChars="202"/>
        <w:rPr>
          <w:highlight w:val="none"/>
        </w:rPr>
      </w:pPr>
      <w:r>
        <w:rPr>
          <w:rFonts w:hint="eastAsia"/>
          <w:highlight w:val="none"/>
        </w:rPr>
        <w:t xml:space="preserve">深圳市深水水务咨询有限公司（招标文件下载网址）  </w:t>
      </w:r>
      <w:r>
        <w:rPr>
          <w:highlight w:val="none"/>
        </w:rPr>
        <w:fldChar w:fldCharType="begin"/>
      </w:r>
      <w:r>
        <w:rPr>
          <w:highlight w:val="none"/>
        </w:rPr>
        <w:instrText xml:space="preserve"> HYPERLINK "http://www.szsszx.com" </w:instrText>
      </w:r>
      <w:r>
        <w:rPr>
          <w:highlight w:val="none"/>
        </w:rPr>
        <w:fldChar w:fldCharType="separate"/>
      </w:r>
      <w:r>
        <w:rPr>
          <w:rStyle w:val="52"/>
          <w:highlight w:val="none"/>
        </w:rPr>
        <w:t>http://www.szsszx.com</w:t>
      </w:r>
      <w:r>
        <w:rPr>
          <w:rStyle w:val="52"/>
          <w:highlight w:val="none"/>
        </w:rPr>
        <w:fldChar w:fldCharType="end"/>
      </w:r>
    </w:p>
    <w:p>
      <w:pPr>
        <w:tabs>
          <w:tab w:val="clear" w:pos="426"/>
        </w:tabs>
        <w:ind w:firstLine="424" w:firstLineChars="202"/>
        <w:rPr>
          <w:highlight w:val="none"/>
        </w:rPr>
      </w:pPr>
      <w:r>
        <w:rPr>
          <w:rFonts w:hint="eastAsia"/>
          <w:highlight w:val="none"/>
        </w:rPr>
        <w:t>采购人联系方式</w:t>
      </w:r>
    </w:p>
    <w:p>
      <w:pPr>
        <w:tabs>
          <w:tab w:val="clear" w:pos="426"/>
        </w:tabs>
        <w:ind w:firstLine="424" w:firstLineChars="202"/>
        <w:rPr>
          <w:highlight w:val="none"/>
        </w:rPr>
      </w:pPr>
      <w:r>
        <w:rPr>
          <w:highlight w:val="none"/>
        </w:rPr>
        <w:t>单位名称</w:t>
      </w:r>
      <w:r>
        <w:rPr>
          <w:rFonts w:hint="eastAsia"/>
          <w:highlight w:val="none"/>
        </w:rPr>
        <w:t>：深圳市南头中学</w:t>
      </w:r>
    </w:p>
    <w:p>
      <w:pPr>
        <w:tabs>
          <w:tab w:val="clear" w:pos="426"/>
        </w:tabs>
        <w:ind w:firstLine="424" w:firstLineChars="202"/>
        <w:rPr>
          <w:highlight w:val="none"/>
        </w:rPr>
      </w:pPr>
      <w:r>
        <w:rPr>
          <w:rFonts w:hint="eastAsia"/>
          <w:highlight w:val="none"/>
        </w:rPr>
        <w:t>联</w:t>
      </w:r>
      <w:r>
        <w:rPr>
          <w:highlight w:val="none"/>
        </w:rPr>
        <w:t xml:space="preserve"> 系 人：</w:t>
      </w:r>
      <w:r>
        <w:rPr>
          <w:rFonts w:hint="eastAsia"/>
          <w:highlight w:val="none"/>
        </w:rPr>
        <w:t>吴老师</w:t>
      </w:r>
    </w:p>
    <w:p>
      <w:pPr>
        <w:tabs>
          <w:tab w:val="clear" w:pos="426"/>
        </w:tabs>
        <w:ind w:firstLine="424" w:firstLineChars="202"/>
        <w:rPr>
          <w:highlight w:val="none"/>
        </w:rPr>
      </w:pPr>
      <w:r>
        <w:rPr>
          <w:rFonts w:hint="eastAsia"/>
          <w:highlight w:val="none"/>
        </w:rPr>
        <w:t>电话：18923756852</w:t>
      </w:r>
    </w:p>
    <w:p>
      <w:pPr>
        <w:tabs>
          <w:tab w:val="clear" w:pos="426"/>
        </w:tabs>
        <w:ind w:firstLine="424" w:firstLineChars="202"/>
        <w:rPr>
          <w:highlight w:val="none"/>
        </w:rPr>
      </w:pPr>
      <w:r>
        <w:rPr>
          <w:rFonts w:hint="eastAsia"/>
          <w:highlight w:val="none"/>
        </w:rPr>
        <w:t>地</w:t>
      </w:r>
      <w:r>
        <w:rPr>
          <w:highlight w:val="none"/>
        </w:rPr>
        <w:t xml:space="preserve">    址：</w:t>
      </w:r>
      <w:r>
        <w:rPr>
          <w:rFonts w:hint="eastAsia"/>
          <w:highlight w:val="none"/>
        </w:rPr>
        <w:t>深圳市</w:t>
      </w:r>
      <w:r>
        <w:rPr>
          <w:rFonts w:hint="eastAsia"/>
          <w:highlight w:val="none"/>
          <w:lang w:eastAsia="zh-CN"/>
        </w:rPr>
        <w:t>南山区</w:t>
      </w:r>
      <w:r>
        <w:rPr>
          <w:rFonts w:hint="eastAsia"/>
          <w:highlight w:val="none"/>
        </w:rPr>
        <w:t>南头中学</w:t>
      </w:r>
    </w:p>
    <w:p>
      <w:pPr>
        <w:tabs>
          <w:tab w:val="clear" w:pos="426"/>
        </w:tabs>
        <w:ind w:firstLine="424" w:firstLineChars="202"/>
        <w:rPr>
          <w:highlight w:val="none"/>
        </w:rPr>
      </w:pPr>
      <w:r>
        <w:rPr>
          <w:rFonts w:hint="eastAsia"/>
          <w:highlight w:val="none"/>
        </w:rPr>
        <w:t>采购代理机构联系方式</w:t>
      </w:r>
    </w:p>
    <w:p>
      <w:pPr>
        <w:tabs>
          <w:tab w:val="clear" w:pos="426"/>
        </w:tabs>
        <w:ind w:firstLine="424" w:firstLineChars="202"/>
        <w:rPr>
          <w:highlight w:val="none"/>
        </w:rPr>
      </w:pPr>
      <w:r>
        <w:rPr>
          <w:rFonts w:hint="eastAsia"/>
          <w:highlight w:val="none"/>
        </w:rPr>
        <w:t>单位名称：深圳市深水水务咨询有限公司</w:t>
      </w:r>
    </w:p>
    <w:p>
      <w:pPr>
        <w:tabs>
          <w:tab w:val="clear" w:pos="426"/>
        </w:tabs>
        <w:ind w:firstLine="424" w:firstLineChars="202"/>
        <w:rPr>
          <w:highlight w:val="none"/>
        </w:rPr>
      </w:pPr>
      <w:r>
        <w:rPr>
          <w:rFonts w:hint="eastAsia"/>
          <w:highlight w:val="none"/>
        </w:rPr>
        <w:t>联系人：蒋晋</w:t>
      </w:r>
    </w:p>
    <w:p>
      <w:pPr>
        <w:tabs>
          <w:tab w:val="clear" w:pos="426"/>
        </w:tabs>
        <w:ind w:firstLine="424" w:firstLineChars="202"/>
        <w:rPr>
          <w:highlight w:val="none"/>
        </w:rPr>
      </w:pPr>
      <w:r>
        <w:rPr>
          <w:rFonts w:hint="eastAsia"/>
          <w:highlight w:val="none"/>
        </w:rPr>
        <w:t>电话：0755-25160321  手  机：13925205100</w:t>
      </w:r>
    </w:p>
    <w:p>
      <w:pPr>
        <w:tabs>
          <w:tab w:val="clear" w:pos="426"/>
        </w:tabs>
        <w:ind w:firstLine="424" w:firstLineChars="202"/>
        <w:rPr>
          <w:highlight w:val="none"/>
        </w:rPr>
      </w:pPr>
      <w:r>
        <w:rPr>
          <w:rFonts w:hint="eastAsia"/>
          <w:highlight w:val="none"/>
        </w:rPr>
        <w:t>地    址：深圳市罗湖区布吉路1028号中设广场B座307</w:t>
      </w:r>
    </w:p>
    <w:p>
      <w:pPr>
        <w:widowControl w:val="0"/>
        <w:shd w:val="clear" w:color="auto" w:fill="auto"/>
        <w:tabs>
          <w:tab w:val="clear" w:pos="426"/>
        </w:tabs>
        <w:adjustRightInd/>
        <w:snapToGrid/>
        <w:rPr>
          <w:rFonts w:ascii="Times New Roman" w:hAnsi="Times New Roman" w:cs="Times New Roman"/>
          <w:b/>
          <w:kern w:val="2"/>
          <w:szCs w:val="21"/>
          <w:highlight w:val="none"/>
        </w:rPr>
      </w:pPr>
      <w:r>
        <w:rPr>
          <w:rFonts w:hint="eastAsia" w:ascii="Times New Roman" w:hAnsi="Times New Roman" w:cs="Times New Roman"/>
          <w:b/>
          <w:kern w:val="2"/>
          <w:szCs w:val="21"/>
          <w:highlight w:val="none"/>
        </w:rPr>
        <w:t>七、采购文件</w:t>
      </w:r>
    </w:p>
    <w:p>
      <w:pPr>
        <w:tabs>
          <w:tab w:val="clear" w:pos="426"/>
        </w:tabs>
        <w:ind w:firstLine="424" w:firstLineChars="202"/>
        <w:rPr>
          <w:rStyle w:val="52"/>
          <w:highlight w:val="none"/>
        </w:rPr>
      </w:pPr>
      <w:r>
        <w:rPr>
          <w:rStyle w:val="52"/>
          <w:rFonts w:hint="eastAsia"/>
          <w:highlight w:val="none"/>
        </w:rPr>
        <w:t>-点此下载-</w:t>
      </w:r>
    </w:p>
    <w:bookmarkEnd w:id="409"/>
    <w:p>
      <w:pPr>
        <w:tabs>
          <w:tab w:val="clear" w:pos="426"/>
        </w:tabs>
        <w:ind w:firstLine="424" w:firstLineChars="202"/>
        <w:rPr>
          <w:highlight w:val="none"/>
        </w:rPr>
      </w:pPr>
    </w:p>
    <w:p>
      <w:pPr>
        <w:tabs>
          <w:tab w:val="clear" w:pos="426"/>
        </w:tabs>
        <w:ind w:firstLine="424" w:firstLineChars="202"/>
        <w:rPr>
          <w:strike/>
          <w:highlight w:val="none"/>
        </w:rPr>
      </w:pPr>
    </w:p>
    <w:p>
      <w:pPr>
        <w:pStyle w:val="33"/>
        <w:tabs>
          <w:tab w:val="clear" w:pos="426"/>
        </w:tabs>
        <w:rPr>
          <w:highlight w:val="none"/>
        </w:rPr>
        <w:sectPr>
          <w:pgSz w:w="11906" w:h="16838"/>
          <w:pgMar w:top="1440" w:right="1797" w:bottom="1440" w:left="1797" w:header="851" w:footer="992" w:gutter="0"/>
          <w:cols w:space="425" w:num="1"/>
          <w:titlePg/>
          <w:docGrid w:linePitch="462" w:charSpace="0"/>
        </w:sectPr>
      </w:pPr>
      <w:bookmarkStart w:id="44" w:name="_Toc432592814"/>
    </w:p>
    <w:p>
      <w:pPr>
        <w:pStyle w:val="33"/>
        <w:tabs>
          <w:tab w:val="clear" w:pos="426"/>
        </w:tabs>
        <w:rPr>
          <w:highlight w:val="none"/>
        </w:rPr>
      </w:pPr>
      <w:bookmarkStart w:id="45" w:name="_Toc5875389"/>
      <w:bookmarkStart w:id="46" w:name="_Toc31858"/>
      <w:r>
        <w:rPr>
          <w:rFonts w:hint="eastAsia"/>
          <w:highlight w:val="none"/>
        </w:rPr>
        <w:t>第二章</w:t>
      </w:r>
      <w:bookmarkEnd w:id="44"/>
      <w:bookmarkStart w:id="47" w:name="_Hlk4694149"/>
      <w:r>
        <w:rPr>
          <w:rFonts w:hint="eastAsia"/>
          <w:highlight w:val="none"/>
        </w:rPr>
        <w:t>投标须知前附表</w:t>
      </w:r>
      <w:bookmarkEnd w:id="45"/>
      <w:bookmarkEnd w:id="46"/>
      <w:bookmarkEnd w:id="47"/>
    </w:p>
    <w:p>
      <w:pPr>
        <w:tabs>
          <w:tab w:val="clear" w:pos="426"/>
        </w:tabs>
        <w:spacing w:line="240" w:lineRule="auto"/>
        <w:ind w:right="-174" w:rightChars="-83"/>
        <w:rPr>
          <w:highlight w:val="none"/>
        </w:rPr>
      </w:pPr>
      <w:r>
        <w:rPr>
          <w:rFonts w:hint="eastAsia"/>
          <w:highlight w:val="none"/>
        </w:rPr>
        <w:t>说明：本表是对通用条款《投标人须知》条款的补充、修改和完善，如果有矛盾，应以本表为准。</w:t>
      </w:r>
    </w:p>
    <w:tbl>
      <w:tblPr>
        <w:tblStyle w:val="44"/>
        <w:tblW w:w="9570"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00"/>
        <w:gridCol w:w="719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序号</w:t>
            </w:r>
          </w:p>
        </w:tc>
        <w:tc>
          <w:tcPr>
            <w:tcW w:w="1700" w:type="dxa"/>
            <w:vAlign w:val="center"/>
          </w:tcPr>
          <w:p>
            <w:pPr>
              <w:tabs>
                <w:tab w:val="clear" w:pos="426"/>
              </w:tabs>
              <w:adjustRightInd/>
              <w:snapToGrid/>
              <w:spacing w:line="240" w:lineRule="exact"/>
              <w:jc w:val="center"/>
              <w:rPr>
                <w:highlight w:val="none"/>
              </w:rPr>
            </w:pPr>
            <w:r>
              <w:rPr>
                <w:rFonts w:hint="eastAsia"/>
                <w:highlight w:val="none"/>
              </w:rPr>
              <w:t>内容</w:t>
            </w:r>
          </w:p>
        </w:tc>
        <w:tc>
          <w:tcPr>
            <w:tcW w:w="7195" w:type="dxa"/>
            <w:vAlign w:val="center"/>
          </w:tcPr>
          <w:p>
            <w:pPr>
              <w:tabs>
                <w:tab w:val="clear" w:pos="426"/>
              </w:tabs>
              <w:adjustRightInd/>
              <w:snapToGrid/>
              <w:spacing w:line="240" w:lineRule="exact"/>
              <w:jc w:val="center"/>
              <w:rPr>
                <w:highlight w:val="none"/>
              </w:rPr>
            </w:pPr>
            <w:r>
              <w:rPr>
                <w:rFonts w:hint="eastAsia"/>
                <w:highlight w:val="none"/>
              </w:rPr>
              <w:t>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w:t>
            </w:r>
          </w:p>
        </w:tc>
        <w:tc>
          <w:tcPr>
            <w:tcW w:w="1700" w:type="dxa"/>
            <w:vAlign w:val="center"/>
          </w:tcPr>
          <w:p>
            <w:pPr>
              <w:tabs>
                <w:tab w:val="clear" w:pos="426"/>
              </w:tabs>
              <w:adjustRightInd/>
              <w:snapToGrid/>
              <w:spacing w:line="240" w:lineRule="exact"/>
              <w:rPr>
                <w:highlight w:val="none"/>
              </w:rPr>
            </w:pPr>
            <w:r>
              <w:rPr>
                <w:rFonts w:hint="eastAsia"/>
                <w:highlight w:val="none"/>
              </w:rPr>
              <w:t>联合体投标</w:t>
            </w:r>
          </w:p>
        </w:tc>
        <w:tc>
          <w:tcPr>
            <w:tcW w:w="7195" w:type="dxa"/>
            <w:vAlign w:val="center"/>
          </w:tcPr>
          <w:p>
            <w:pPr>
              <w:tabs>
                <w:tab w:val="clear" w:pos="426"/>
              </w:tabs>
              <w:adjustRightInd/>
              <w:snapToGrid/>
              <w:spacing w:line="240" w:lineRule="exact"/>
              <w:rPr>
                <w:highlight w:val="none"/>
              </w:rPr>
            </w:pPr>
            <w:r>
              <w:rPr>
                <w:rFonts w:hint="eastAsia"/>
                <w:highlight w:val="none"/>
              </w:rPr>
              <w:t>■不接受（招标文件中相关联合体规定均不适用）   □接受</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2</w:t>
            </w:r>
          </w:p>
        </w:tc>
        <w:tc>
          <w:tcPr>
            <w:tcW w:w="1700" w:type="dxa"/>
            <w:vAlign w:val="center"/>
          </w:tcPr>
          <w:p>
            <w:pPr>
              <w:tabs>
                <w:tab w:val="clear" w:pos="426"/>
              </w:tabs>
              <w:adjustRightInd/>
              <w:snapToGrid/>
              <w:spacing w:line="240" w:lineRule="exact"/>
              <w:rPr>
                <w:highlight w:val="none"/>
              </w:rPr>
            </w:pPr>
            <w:r>
              <w:rPr>
                <w:highlight w:val="none"/>
              </w:rPr>
              <w:t>踏勘现场</w:t>
            </w:r>
          </w:p>
        </w:tc>
        <w:tc>
          <w:tcPr>
            <w:tcW w:w="7195" w:type="dxa"/>
            <w:vAlign w:val="center"/>
          </w:tcPr>
          <w:p>
            <w:pPr>
              <w:tabs>
                <w:tab w:val="clear" w:pos="426"/>
              </w:tabs>
              <w:adjustRightInd/>
              <w:snapToGrid/>
              <w:spacing w:line="240" w:lineRule="exact"/>
              <w:rPr>
                <w:highlight w:val="none"/>
              </w:rPr>
            </w:pPr>
            <w:r>
              <w:rPr>
                <w:rFonts w:hint="eastAsia"/>
                <w:highlight w:val="none"/>
              </w:rPr>
              <w:t>■不组织。</w:t>
            </w:r>
          </w:p>
          <w:p>
            <w:pPr>
              <w:tabs>
                <w:tab w:val="clear" w:pos="426"/>
              </w:tabs>
              <w:adjustRightInd/>
              <w:snapToGrid/>
              <w:spacing w:line="240" w:lineRule="exact"/>
              <w:rPr>
                <w:highlight w:val="none"/>
              </w:rPr>
            </w:pPr>
            <w:r>
              <w:rPr>
                <w:rFonts w:hint="eastAsia"/>
                <w:highlight w:val="none"/>
              </w:rPr>
              <w:t>□组织。踏勘时间：      年    月   日    时    分    集合地点：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3</w:t>
            </w:r>
          </w:p>
        </w:tc>
        <w:tc>
          <w:tcPr>
            <w:tcW w:w="1700" w:type="dxa"/>
            <w:vAlign w:val="center"/>
          </w:tcPr>
          <w:p>
            <w:pPr>
              <w:tabs>
                <w:tab w:val="clear" w:pos="426"/>
              </w:tabs>
              <w:adjustRightInd/>
              <w:snapToGrid/>
              <w:spacing w:line="240" w:lineRule="exact"/>
              <w:rPr>
                <w:highlight w:val="none"/>
              </w:rPr>
            </w:pPr>
            <w:r>
              <w:rPr>
                <w:rFonts w:hint="eastAsia"/>
                <w:highlight w:val="none"/>
              </w:rPr>
              <w:t>投标人提出疑问截止时间</w:t>
            </w:r>
          </w:p>
        </w:tc>
        <w:tc>
          <w:tcPr>
            <w:tcW w:w="7195" w:type="dxa"/>
            <w:vAlign w:val="center"/>
          </w:tcPr>
          <w:p>
            <w:pPr>
              <w:tabs>
                <w:tab w:val="clear" w:pos="426"/>
              </w:tabs>
              <w:adjustRightInd/>
              <w:snapToGrid/>
              <w:spacing w:line="240" w:lineRule="exact"/>
              <w:rPr>
                <w:highlight w:val="none"/>
              </w:rPr>
            </w:pPr>
            <w:r>
              <w:rPr>
                <w:rFonts w:hint="eastAsia"/>
                <w:highlight w:val="none"/>
              </w:rPr>
              <w:t>采购文件发布之日起第7个工作日</w:t>
            </w:r>
            <w:r>
              <w:rPr>
                <w:rFonts w:hint="eastAsia"/>
                <w:highlight w:val="none"/>
                <w:u w:val="single"/>
              </w:rPr>
              <w:t>17：30</w:t>
            </w:r>
            <w:r>
              <w:rPr>
                <w:rFonts w:hint="eastAsia"/>
                <w:highlight w:val="none"/>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4</w:t>
            </w:r>
          </w:p>
        </w:tc>
        <w:tc>
          <w:tcPr>
            <w:tcW w:w="1700" w:type="dxa"/>
            <w:vAlign w:val="center"/>
          </w:tcPr>
          <w:p>
            <w:pPr>
              <w:tabs>
                <w:tab w:val="clear" w:pos="426"/>
              </w:tabs>
              <w:adjustRightInd/>
              <w:snapToGrid/>
              <w:spacing w:line="240" w:lineRule="exact"/>
              <w:rPr>
                <w:highlight w:val="none"/>
              </w:rPr>
            </w:pPr>
            <w:r>
              <w:rPr>
                <w:rFonts w:hint="eastAsia"/>
                <w:highlight w:val="none"/>
              </w:rPr>
              <w:t>澄清或修补、答疑的期限</w:t>
            </w:r>
          </w:p>
        </w:tc>
        <w:tc>
          <w:tcPr>
            <w:tcW w:w="7195" w:type="dxa"/>
            <w:vAlign w:val="center"/>
          </w:tcPr>
          <w:p>
            <w:pPr>
              <w:tabs>
                <w:tab w:val="clear" w:pos="426"/>
              </w:tabs>
              <w:adjustRightInd/>
              <w:snapToGrid/>
              <w:spacing w:line="240" w:lineRule="exact"/>
              <w:rPr>
                <w:highlight w:val="none"/>
              </w:rPr>
            </w:pPr>
            <w:r>
              <w:rPr>
                <w:rFonts w:hint="eastAsia"/>
                <w:highlight w:val="none"/>
              </w:rPr>
              <w:t>截标3</w:t>
            </w:r>
            <w:r>
              <w:rPr>
                <w:highlight w:val="none"/>
              </w:rPr>
              <w:t>日</w:t>
            </w:r>
            <w:r>
              <w:rPr>
                <w:rFonts w:hint="eastAsia"/>
                <w:highlight w:val="none"/>
              </w:rPr>
              <w:t>前</w:t>
            </w:r>
            <w:r>
              <w:rPr>
                <w:rFonts w:hint="eastAsia"/>
                <w:highlight w:val="none"/>
                <w:u w:val="single"/>
              </w:rPr>
              <w:t>17：30</w:t>
            </w:r>
            <w:r>
              <w:rPr>
                <w:rFonts w:hint="eastAsia"/>
                <w:highlight w:val="none"/>
              </w:rPr>
              <w:t>点前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5</w:t>
            </w:r>
          </w:p>
        </w:tc>
        <w:tc>
          <w:tcPr>
            <w:tcW w:w="1700" w:type="dxa"/>
            <w:vAlign w:val="center"/>
          </w:tcPr>
          <w:p>
            <w:pPr>
              <w:tabs>
                <w:tab w:val="clear" w:pos="426"/>
              </w:tabs>
              <w:adjustRightInd/>
              <w:snapToGrid/>
              <w:spacing w:line="240" w:lineRule="exact"/>
              <w:rPr>
                <w:highlight w:val="none"/>
              </w:rPr>
            </w:pPr>
            <w:r>
              <w:rPr>
                <w:rFonts w:hint="eastAsia"/>
                <w:highlight w:val="none"/>
              </w:rPr>
              <w:t>招标代理</w:t>
            </w:r>
            <w:r>
              <w:rPr>
                <w:highlight w:val="none"/>
              </w:rPr>
              <w:t>服务费</w:t>
            </w:r>
          </w:p>
        </w:tc>
        <w:tc>
          <w:tcPr>
            <w:tcW w:w="7195" w:type="dxa"/>
            <w:vAlign w:val="center"/>
          </w:tcPr>
          <w:p>
            <w:pPr>
              <w:tabs>
                <w:tab w:val="clear" w:pos="426"/>
              </w:tabs>
              <w:adjustRightInd/>
              <w:snapToGrid/>
              <w:spacing w:line="240" w:lineRule="exact"/>
              <w:rPr>
                <w:highlight w:val="none"/>
              </w:rPr>
            </w:pPr>
            <w:r>
              <w:rPr>
                <w:rFonts w:hint="eastAsia"/>
                <w:highlight w:val="none"/>
              </w:rPr>
              <w:t>采购代理机构以中标金额为计算基数，按《深圳市财政委员会关于规范深圳市社会采购代理机构管理有关事项的补充通知》（深财购〔</w:t>
            </w:r>
            <w:r>
              <w:rPr>
                <w:highlight w:val="none"/>
              </w:rPr>
              <w:t>2018〕27号）规定的招标代理服务费收费办法，按差额定率累进法计算，并向中标人收取。</w:t>
            </w:r>
            <w:r>
              <w:rPr>
                <w:rFonts w:hint="eastAsia"/>
                <w:highlight w:val="none"/>
              </w:rPr>
              <w:t>交易服务费采用转账的方式，账户信息如下：</w:t>
            </w:r>
          </w:p>
          <w:p>
            <w:pPr>
              <w:tabs>
                <w:tab w:val="clear" w:pos="426"/>
              </w:tabs>
              <w:adjustRightInd/>
              <w:snapToGrid/>
              <w:spacing w:line="240" w:lineRule="exact"/>
              <w:rPr>
                <w:highlight w:val="none"/>
              </w:rPr>
            </w:pPr>
            <w:r>
              <w:rPr>
                <w:rFonts w:hint="eastAsia"/>
                <w:highlight w:val="none"/>
              </w:rPr>
              <w:t>户名：深圳市深水水务咨询有限公司</w:t>
            </w:r>
          </w:p>
          <w:p>
            <w:pPr>
              <w:tabs>
                <w:tab w:val="clear" w:pos="426"/>
              </w:tabs>
              <w:adjustRightInd/>
              <w:snapToGrid/>
              <w:spacing w:line="240" w:lineRule="exact"/>
              <w:rPr>
                <w:highlight w:val="none"/>
              </w:rPr>
            </w:pPr>
            <w:r>
              <w:rPr>
                <w:rFonts w:hint="eastAsia"/>
                <w:highlight w:val="none"/>
              </w:rPr>
              <w:t>账号：</w:t>
            </w:r>
            <w:r>
              <w:rPr>
                <w:highlight w:val="none"/>
              </w:rPr>
              <w:t>4000021219200366130</w:t>
            </w:r>
          </w:p>
          <w:p>
            <w:pPr>
              <w:tabs>
                <w:tab w:val="clear" w:pos="426"/>
              </w:tabs>
              <w:adjustRightInd/>
              <w:snapToGrid/>
              <w:spacing w:line="240" w:lineRule="exact"/>
              <w:rPr>
                <w:highlight w:val="none"/>
              </w:rPr>
            </w:pPr>
            <w:r>
              <w:rPr>
                <w:rFonts w:hint="eastAsia"/>
                <w:highlight w:val="none"/>
              </w:rPr>
              <w:t>开户行：中国工商银行深圳红围支行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6</w:t>
            </w:r>
          </w:p>
        </w:tc>
        <w:tc>
          <w:tcPr>
            <w:tcW w:w="1700" w:type="dxa"/>
            <w:vAlign w:val="center"/>
          </w:tcPr>
          <w:p>
            <w:pPr>
              <w:tabs>
                <w:tab w:val="clear" w:pos="426"/>
              </w:tabs>
              <w:adjustRightInd/>
              <w:snapToGrid/>
              <w:spacing w:line="240" w:lineRule="exact"/>
              <w:rPr>
                <w:highlight w:val="none"/>
              </w:rPr>
            </w:pPr>
            <w:r>
              <w:rPr>
                <w:highlight w:val="none"/>
              </w:rPr>
              <w:t>投标</w:t>
            </w:r>
            <w:r>
              <w:rPr>
                <w:rFonts w:hint="eastAsia"/>
                <w:highlight w:val="none"/>
              </w:rPr>
              <w:t>担保</w:t>
            </w:r>
          </w:p>
        </w:tc>
        <w:tc>
          <w:tcPr>
            <w:tcW w:w="7195" w:type="dxa"/>
            <w:vAlign w:val="center"/>
          </w:tcPr>
          <w:p>
            <w:pPr>
              <w:spacing w:line="240" w:lineRule="exact"/>
              <w:rPr>
                <w:color w:val="000000"/>
                <w:highlight w:val="none"/>
              </w:rPr>
            </w:pPr>
            <w:r>
              <w:rPr>
                <w:rFonts w:hint="eastAsia"/>
                <w:color w:val="000000"/>
                <w:highlight w:val="none"/>
              </w:rPr>
              <w:t>根据《深圳市财政委员会关于规范政府采购项目投标保证金和履约保证金管理的通知》深财购﹝2017﹞55号文：</w:t>
            </w:r>
          </w:p>
          <w:p>
            <w:pPr>
              <w:numPr>
                <w:ilvl w:val="255"/>
                <w:numId w:val="0"/>
              </w:numPr>
              <w:spacing w:line="240" w:lineRule="exact"/>
              <w:rPr>
                <w:color w:val="000000"/>
                <w:szCs w:val="21"/>
                <w:highlight w:val="none"/>
              </w:rPr>
            </w:pPr>
            <w:r>
              <w:rPr>
                <w:rFonts w:hint="eastAsia"/>
                <w:color w:val="000000"/>
                <w:szCs w:val="21"/>
                <w:highlight w:val="none"/>
              </w:rPr>
              <w:t>（1）供应商须为深圳市政府采购注册供应商并缴纳保证金一万元（由深圳市政府采购中心收取）；如另有规定，详见招标文件《专用条款》规定。</w:t>
            </w:r>
          </w:p>
          <w:p>
            <w:pPr>
              <w:spacing w:line="240" w:lineRule="exact"/>
              <w:rPr>
                <w:color w:val="000000"/>
                <w:szCs w:val="21"/>
                <w:highlight w:val="none"/>
              </w:rPr>
            </w:pPr>
            <w:r>
              <w:rPr>
                <w:rFonts w:hint="eastAsia"/>
                <w:color w:val="000000"/>
                <w:szCs w:val="21"/>
                <w:highlight w:val="none"/>
              </w:rPr>
              <w:t>（2）投标保证金必须在项目开标日前两个工作日到账。</w:t>
            </w:r>
          </w:p>
          <w:p>
            <w:pPr>
              <w:spacing w:line="240" w:lineRule="exact"/>
              <w:rPr>
                <w:color w:val="000000"/>
                <w:szCs w:val="21"/>
                <w:highlight w:val="none"/>
              </w:rPr>
            </w:pPr>
            <w:r>
              <w:rPr>
                <w:rFonts w:hint="eastAsia"/>
                <w:color w:val="000000"/>
                <w:szCs w:val="21"/>
                <w:highlight w:val="none"/>
              </w:rPr>
              <w:t>（3）交纳投标保证金应一律从投标人基本账户转出，否则按隐瞒真实情况，提供虚假资料处理。取消现金汇款等交纳方式，禁止个人银行结算账户转出和第三方代交。</w:t>
            </w:r>
          </w:p>
          <w:p>
            <w:pPr>
              <w:spacing w:line="240" w:lineRule="exact"/>
              <w:rPr>
                <w:color w:val="000000"/>
                <w:szCs w:val="21"/>
                <w:highlight w:val="none"/>
              </w:rPr>
            </w:pPr>
            <w:r>
              <w:rPr>
                <w:rFonts w:hint="eastAsia"/>
                <w:color w:val="000000"/>
                <w:szCs w:val="21"/>
                <w:highlight w:val="none"/>
              </w:rPr>
              <w:t>（4）投标人须提供承诺函，承诺已在市政府采购中心缴纳投标保证金，所缴纳的投标保证金作为本次政府采购活动的投标保证金；若投标保证金被依法不予退还，应及时补缴，否则投标无效。</w:t>
            </w:r>
          </w:p>
          <w:p>
            <w:pPr>
              <w:spacing w:line="240" w:lineRule="exact"/>
              <w:rPr>
                <w:color w:val="000000"/>
                <w:szCs w:val="21"/>
                <w:highlight w:val="none"/>
              </w:rPr>
            </w:pPr>
            <w:r>
              <w:rPr>
                <w:rFonts w:hint="eastAsia"/>
                <w:color w:val="000000"/>
                <w:szCs w:val="21"/>
                <w:highlight w:val="none"/>
              </w:rPr>
              <w:t>（5）以上相关要求必须严格遵守。否则，由此造成的后果由供应商自行负责。</w:t>
            </w:r>
          </w:p>
          <w:p>
            <w:pPr>
              <w:spacing w:line="240" w:lineRule="exact"/>
              <w:rPr>
                <w:color w:val="000000"/>
                <w:szCs w:val="21"/>
                <w:highlight w:val="none"/>
              </w:rPr>
            </w:pPr>
            <w:r>
              <w:rPr>
                <w:rFonts w:hint="eastAsia"/>
                <w:color w:val="000000"/>
                <w:szCs w:val="21"/>
                <w:highlight w:val="none"/>
              </w:rPr>
              <w:t>（6）缴纳投标保证金账户信息：</w:t>
            </w:r>
          </w:p>
          <w:p>
            <w:pPr>
              <w:spacing w:line="240" w:lineRule="exact"/>
              <w:rPr>
                <w:color w:val="000000"/>
                <w:szCs w:val="21"/>
                <w:highlight w:val="none"/>
              </w:rPr>
            </w:pPr>
            <w:r>
              <w:rPr>
                <w:rFonts w:hint="eastAsia"/>
                <w:color w:val="000000"/>
                <w:szCs w:val="21"/>
                <w:highlight w:val="none"/>
              </w:rPr>
              <w:t>账户名称：深圳市政府采购中心</w:t>
            </w:r>
          </w:p>
          <w:p>
            <w:pPr>
              <w:spacing w:line="240" w:lineRule="exact"/>
              <w:rPr>
                <w:color w:val="000000"/>
                <w:szCs w:val="21"/>
                <w:highlight w:val="none"/>
              </w:rPr>
            </w:pPr>
            <w:r>
              <w:rPr>
                <w:rFonts w:hint="eastAsia"/>
                <w:color w:val="000000"/>
                <w:szCs w:val="21"/>
                <w:highlight w:val="none"/>
              </w:rPr>
              <w:t>账    号：0012100200549</w:t>
            </w:r>
          </w:p>
          <w:p>
            <w:pPr>
              <w:spacing w:line="240" w:lineRule="exact"/>
              <w:rPr>
                <w:color w:val="000000"/>
                <w:szCs w:val="21"/>
                <w:highlight w:val="none"/>
              </w:rPr>
            </w:pPr>
            <w:r>
              <w:rPr>
                <w:rFonts w:hint="eastAsia"/>
                <w:color w:val="000000"/>
                <w:szCs w:val="21"/>
                <w:highlight w:val="none"/>
              </w:rPr>
              <w:t xml:space="preserve">开户银行：平安银行股份有限公司深圳分行营业部  </w:t>
            </w:r>
          </w:p>
          <w:p>
            <w:pPr>
              <w:tabs>
                <w:tab w:val="clear" w:pos="426"/>
              </w:tabs>
              <w:adjustRightInd/>
              <w:snapToGrid/>
              <w:spacing w:line="240" w:lineRule="exact"/>
              <w:rPr>
                <w:color w:val="000000"/>
                <w:szCs w:val="21"/>
                <w:highlight w:val="none"/>
              </w:rPr>
            </w:pPr>
            <w:r>
              <w:rPr>
                <w:rFonts w:hint="eastAsia"/>
                <w:color w:val="000000"/>
                <w:szCs w:val="21"/>
                <w:highlight w:val="none"/>
              </w:rPr>
              <w:t>行    号：307584021015</w:t>
            </w:r>
          </w:p>
          <w:p>
            <w:pPr>
              <w:tabs>
                <w:tab w:val="clear" w:pos="426"/>
              </w:tabs>
              <w:adjustRightInd/>
              <w:snapToGrid/>
              <w:spacing w:line="240" w:lineRule="exact"/>
              <w:rPr>
                <w:highlight w:val="none"/>
              </w:rPr>
            </w:pPr>
            <w:r>
              <w:rPr>
                <w:rFonts w:hint="eastAsia"/>
                <w:highlight w:val="none"/>
              </w:rPr>
              <w:t>（</w:t>
            </w:r>
            <w:r>
              <w:rPr>
                <w:highlight w:val="none"/>
              </w:rPr>
              <w:t>7）咨询电话：0755-83948155</w:t>
            </w:r>
            <w:r>
              <w:rPr>
                <w:rFonts w:hint="eastAsia"/>
                <w:highlight w:val="none"/>
              </w:rPr>
              <w:t>市采购中心保证金业务办理事宜。</w:t>
            </w:r>
            <w:r>
              <w:rPr>
                <w:highlight w:val="none"/>
              </w:rPr>
              <w:t>办理网址</w:t>
            </w:r>
            <w:r>
              <w:rPr>
                <w:rFonts w:hint="eastAsia"/>
                <w:highlight w:val="none"/>
              </w:rPr>
              <w:t>：</w:t>
            </w:r>
            <w:r>
              <w:rPr>
                <w:highlight w:val="none"/>
              </w:rPr>
              <w:t>http://www.cgzx.sz.gov.cn/zxfw/mxgys/bzjywbl/</w:t>
            </w:r>
            <w:r>
              <w:rPr>
                <w:highlight w:val="none"/>
              </w:rPr>
              <w:fldChar w:fldCharType="begin"/>
            </w:r>
            <w:r>
              <w:rPr>
                <w:highlight w:val="none"/>
              </w:rPr>
              <w:instrText xml:space="preserve"> HYPERLINK "http://www.cgzx.sz.gov.cn/zxfw/gys/bzjblzn/" </w:instrText>
            </w:r>
            <w:r>
              <w:rPr>
                <w:highlight w:val="none"/>
              </w:rPr>
              <w:fldChar w:fldCharType="separate"/>
            </w:r>
            <w:r>
              <w:rPr>
                <w:highlight w:val="none"/>
              </w:rPr>
              <w:fldChar w:fldCharType="end"/>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7</w:t>
            </w:r>
          </w:p>
        </w:tc>
        <w:tc>
          <w:tcPr>
            <w:tcW w:w="1700" w:type="dxa"/>
            <w:vAlign w:val="center"/>
          </w:tcPr>
          <w:p>
            <w:pPr>
              <w:tabs>
                <w:tab w:val="clear" w:pos="426"/>
              </w:tabs>
              <w:adjustRightInd/>
              <w:snapToGrid/>
              <w:spacing w:line="240" w:lineRule="exact"/>
              <w:rPr>
                <w:highlight w:val="none"/>
              </w:rPr>
            </w:pPr>
            <w:r>
              <w:rPr>
                <w:highlight w:val="none"/>
              </w:rPr>
              <w:t>投标有效期</w:t>
            </w:r>
          </w:p>
        </w:tc>
        <w:tc>
          <w:tcPr>
            <w:tcW w:w="7195" w:type="dxa"/>
            <w:vAlign w:val="center"/>
          </w:tcPr>
          <w:p>
            <w:pPr>
              <w:tabs>
                <w:tab w:val="clear" w:pos="426"/>
              </w:tabs>
              <w:adjustRightInd/>
              <w:snapToGrid/>
              <w:spacing w:line="240" w:lineRule="exact"/>
              <w:rPr>
                <w:highlight w:val="none"/>
              </w:rPr>
            </w:pPr>
            <w:r>
              <w:rPr>
                <w:rFonts w:hint="eastAsia"/>
                <w:highlight w:val="none"/>
              </w:rPr>
              <w:t>90</w:t>
            </w:r>
            <w:r>
              <w:rPr>
                <w:highlight w:val="none"/>
              </w:rPr>
              <w:t>日历天（</w:t>
            </w:r>
            <w:r>
              <w:rPr>
                <w:rFonts w:hint="eastAsia"/>
                <w:highlight w:val="none"/>
              </w:rPr>
              <w:t>从投标截止之日算起</w:t>
            </w:r>
            <w:r>
              <w:rPr>
                <w:highlight w:val="none"/>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8</w:t>
            </w:r>
          </w:p>
        </w:tc>
        <w:tc>
          <w:tcPr>
            <w:tcW w:w="1700" w:type="dxa"/>
            <w:vAlign w:val="center"/>
          </w:tcPr>
          <w:p>
            <w:pPr>
              <w:tabs>
                <w:tab w:val="clear" w:pos="426"/>
              </w:tabs>
              <w:adjustRightInd/>
              <w:snapToGrid/>
              <w:spacing w:line="240" w:lineRule="exact"/>
              <w:rPr>
                <w:highlight w:val="none"/>
              </w:rPr>
            </w:pPr>
            <w:r>
              <w:rPr>
                <w:rFonts w:hint="eastAsia"/>
                <w:highlight w:val="none"/>
              </w:rPr>
              <w:t>替代方案</w:t>
            </w:r>
          </w:p>
        </w:tc>
        <w:tc>
          <w:tcPr>
            <w:tcW w:w="7195" w:type="dxa"/>
            <w:vAlign w:val="center"/>
          </w:tcPr>
          <w:p>
            <w:pPr>
              <w:tabs>
                <w:tab w:val="clear" w:pos="426"/>
              </w:tabs>
              <w:adjustRightInd/>
              <w:snapToGrid/>
              <w:spacing w:line="240" w:lineRule="exact"/>
              <w:rPr>
                <w:highlight w:val="none"/>
              </w:rPr>
            </w:pPr>
            <w:r>
              <w:rPr>
                <w:rFonts w:hint="eastAsia"/>
                <w:highlight w:val="none"/>
              </w:rPr>
              <w:t>■不允许  □允许</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9</w:t>
            </w:r>
          </w:p>
        </w:tc>
        <w:tc>
          <w:tcPr>
            <w:tcW w:w="1700" w:type="dxa"/>
            <w:vAlign w:val="center"/>
          </w:tcPr>
          <w:p>
            <w:pPr>
              <w:tabs>
                <w:tab w:val="clear" w:pos="426"/>
              </w:tabs>
              <w:adjustRightInd/>
              <w:snapToGrid/>
              <w:spacing w:line="240" w:lineRule="exact"/>
              <w:rPr>
                <w:highlight w:val="none"/>
              </w:rPr>
            </w:pPr>
            <w:r>
              <w:rPr>
                <w:rFonts w:hint="eastAsia"/>
                <w:highlight w:val="none"/>
              </w:rPr>
              <w:t>评定分离</w:t>
            </w:r>
          </w:p>
        </w:tc>
        <w:tc>
          <w:tcPr>
            <w:tcW w:w="7195" w:type="dxa"/>
            <w:vAlign w:val="center"/>
          </w:tcPr>
          <w:p>
            <w:pPr>
              <w:tabs>
                <w:tab w:val="clear" w:pos="426"/>
              </w:tabs>
              <w:adjustRightInd/>
              <w:snapToGrid/>
              <w:spacing w:line="240" w:lineRule="auto"/>
              <w:rPr>
                <w:highlight w:val="none"/>
              </w:rPr>
            </w:pPr>
            <w:r>
              <w:rPr>
                <w:rFonts w:hint="eastAsia"/>
                <w:highlight w:val="none"/>
              </w:rPr>
              <w:t>■是             □否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10</w:t>
            </w:r>
          </w:p>
        </w:tc>
        <w:tc>
          <w:tcPr>
            <w:tcW w:w="1700" w:type="dxa"/>
            <w:vAlign w:val="center"/>
          </w:tcPr>
          <w:p>
            <w:pPr>
              <w:tabs>
                <w:tab w:val="clear" w:pos="426"/>
              </w:tabs>
              <w:adjustRightInd/>
              <w:snapToGrid/>
              <w:spacing w:line="240" w:lineRule="exact"/>
              <w:rPr>
                <w:highlight w:val="none"/>
              </w:rPr>
            </w:pPr>
            <w:r>
              <w:rPr>
                <w:highlight w:val="none"/>
              </w:rPr>
              <w:t>评标</w:t>
            </w:r>
            <w:r>
              <w:rPr>
                <w:rFonts w:hint="eastAsia"/>
                <w:highlight w:val="none"/>
              </w:rPr>
              <w:t>方</w:t>
            </w:r>
            <w:r>
              <w:rPr>
                <w:highlight w:val="none"/>
              </w:rPr>
              <w:t>法</w:t>
            </w:r>
          </w:p>
        </w:tc>
        <w:tc>
          <w:tcPr>
            <w:tcW w:w="7195" w:type="dxa"/>
            <w:vAlign w:val="center"/>
          </w:tcPr>
          <w:p>
            <w:pPr>
              <w:tabs>
                <w:tab w:val="clear" w:pos="426"/>
              </w:tabs>
              <w:adjustRightInd/>
              <w:snapToGrid/>
              <w:spacing w:line="240" w:lineRule="auto"/>
              <w:rPr>
                <w:color w:val="000000"/>
                <w:szCs w:val="21"/>
                <w:highlight w:val="none"/>
              </w:rPr>
            </w:pPr>
            <w:r>
              <w:rPr>
                <w:highlight w:val="none"/>
              </w:rPr>
              <w:t>■</w:t>
            </w:r>
            <w:r>
              <w:rPr>
                <w:rFonts w:hint="eastAsia"/>
                <w:color w:val="000000"/>
                <w:szCs w:val="21"/>
                <w:highlight w:val="none"/>
              </w:rPr>
              <w:t xml:space="preserve">综合评分法     </w:t>
            </w:r>
            <w:r>
              <w:rPr>
                <w:rFonts w:hint="eastAsia"/>
                <w:highlight w:val="none"/>
              </w:rPr>
              <w:t>□</w:t>
            </w:r>
            <w:r>
              <w:rPr>
                <w:rFonts w:hint="eastAsia"/>
                <w:color w:val="000000"/>
                <w:szCs w:val="21"/>
                <w:highlight w:val="none"/>
              </w:rPr>
              <w:t xml:space="preserve">定性评审法     </w:t>
            </w:r>
            <w:r>
              <w:rPr>
                <w:rFonts w:hint="eastAsia"/>
                <w:highlight w:val="none"/>
              </w:rPr>
              <w:t>□</w:t>
            </w:r>
            <w:r>
              <w:rPr>
                <w:rFonts w:hint="eastAsia"/>
                <w:color w:val="000000"/>
                <w:szCs w:val="21"/>
                <w:highlight w:val="none"/>
              </w:rPr>
              <w:t>最低价法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11</w:t>
            </w:r>
          </w:p>
        </w:tc>
        <w:tc>
          <w:tcPr>
            <w:tcW w:w="1700" w:type="dxa"/>
            <w:vAlign w:val="center"/>
          </w:tcPr>
          <w:p>
            <w:pPr>
              <w:tabs>
                <w:tab w:val="clear" w:pos="426"/>
              </w:tabs>
              <w:adjustRightInd/>
              <w:snapToGrid/>
              <w:spacing w:line="240" w:lineRule="exact"/>
              <w:rPr>
                <w:highlight w:val="none"/>
              </w:rPr>
            </w:pPr>
            <w:r>
              <w:rPr>
                <w:rFonts w:hint="eastAsia"/>
                <w:highlight w:val="none"/>
              </w:rPr>
              <w:t>定</w:t>
            </w:r>
            <w:r>
              <w:rPr>
                <w:highlight w:val="none"/>
              </w:rPr>
              <w:t>标</w:t>
            </w:r>
            <w:r>
              <w:rPr>
                <w:rFonts w:hint="eastAsia"/>
                <w:highlight w:val="none"/>
              </w:rPr>
              <w:t>方</w:t>
            </w:r>
            <w:r>
              <w:rPr>
                <w:highlight w:val="none"/>
              </w:rPr>
              <w:t>法</w:t>
            </w:r>
          </w:p>
        </w:tc>
        <w:tc>
          <w:tcPr>
            <w:tcW w:w="7195" w:type="dxa"/>
            <w:vAlign w:val="center"/>
          </w:tcPr>
          <w:p>
            <w:pPr>
              <w:tabs>
                <w:tab w:val="clear" w:pos="426"/>
              </w:tabs>
              <w:adjustRightInd/>
              <w:snapToGrid/>
              <w:spacing w:line="240" w:lineRule="auto"/>
              <w:rPr>
                <w:color w:val="000000"/>
                <w:szCs w:val="21"/>
                <w:highlight w:val="none"/>
              </w:rPr>
            </w:pPr>
            <w:r>
              <w:rPr>
                <w:rFonts w:hint="eastAsia"/>
                <w:highlight w:val="none"/>
              </w:rPr>
              <w:t>■</w:t>
            </w:r>
            <w:r>
              <w:rPr>
                <w:rFonts w:hint="eastAsia"/>
                <w:color w:val="000000"/>
                <w:szCs w:val="21"/>
                <w:highlight w:val="none"/>
              </w:rPr>
              <w:t xml:space="preserve">自定法         </w:t>
            </w:r>
            <w:r>
              <w:rPr>
                <w:rFonts w:hint="eastAsia"/>
                <w:highlight w:val="none"/>
              </w:rPr>
              <w:t>□</w:t>
            </w:r>
            <w:r>
              <w:rPr>
                <w:rFonts w:hint="eastAsia"/>
                <w:color w:val="000000"/>
                <w:szCs w:val="21"/>
                <w:highlight w:val="none"/>
              </w:rPr>
              <w:t xml:space="preserve">抽签法         </w:t>
            </w:r>
            <w:r>
              <w:rPr>
                <w:rFonts w:hint="eastAsia"/>
                <w:highlight w:val="none"/>
              </w:rPr>
              <w:t>□</w:t>
            </w:r>
            <w:r>
              <w:rPr>
                <w:rFonts w:hint="eastAsia"/>
                <w:color w:val="000000"/>
                <w:szCs w:val="21"/>
                <w:highlight w:val="none"/>
              </w:rPr>
              <w:t>竞价法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12</w:t>
            </w:r>
          </w:p>
        </w:tc>
        <w:tc>
          <w:tcPr>
            <w:tcW w:w="1700" w:type="dxa"/>
            <w:vAlign w:val="center"/>
          </w:tcPr>
          <w:p>
            <w:pPr>
              <w:tabs>
                <w:tab w:val="clear" w:pos="426"/>
              </w:tabs>
              <w:adjustRightInd/>
              <w:snapToGrid/>
              <w:spacing w:line="240" w:lineRule="exact"/>
              <w:rPr>
                <w:highlight w:val="none"/>
              </w:rPr>
            </w:pPr>
            <w:r>
              <w:rPr>
                <w:highlight w:val="none"/>
              </w:rPr>
              <w:t>履约保证金</w:t>
            </w:r>
          </w:p>
        </w:tc>
        <w:tc>
          <w:tcPr>
            <w:tcW w:w="7195" w:type="dxa"/>
            <w:vAlign w:val="center"/>
          </w:tcPr>
          <w:p>
            <w:pPr>
              <w:tabs>
                <w:tab w:val="clear" w:pos="426"/>
              </w:tabs>
              <w:adjustRightInd/>
              <w:snapToGrid/>
              <w:spacing w:line="240" w:lineRule="exact"/>
              <w:rPr>
                <w:highlight w:val="none"/>
              </w:rPr>
            </w:pPr>
            <w:r>
              <w:rPr>
                <w:highlight w:val="none"/>
              </w:rPr>
              <w:t>■</w:t>
            </w:r>
            <w:r>
              <w:rPr>
                <w:rFonts w:hint="eastAsia"/>
                <w:highlight w:val="none"/>
              </w:rPr>
              <w:t>不提交  □提交</w:t>
            </w:r>
          </w:p>
          <w:p>
            <w:pPr>
              <w:tabs>
                <w:tab w:val="clear" w:pos="426"/>
              </w:tabs>
              <w:adjustRightInd/>
              <w:snapToGrid/>
              <w:spacing w:line="240" w:lineRule="exact"/>
              <w:rPr>
                <w:highlight w:val="none"/>
              </w:rPr>
            </w:pPr>
            <w:r>
              <w:rPr>
                <w:rFonts w:hint="eastAsia"/>
                <w:highlight w:val="none"/>
              </w:rPr>
              <w:t>担保金额：为中标价的</w:t>
            </w:r>
            <w:r>
              <w:rPr>
                <w:rFonts w:hint="eastAsia"/>
                <w:highlight w:val="none"/>
                <w:u w:val="single"/>
              </w:rPr>
              <w:t xml:space="preserve"> /</w:t>
            </w:r>
            <w:r>
              <w:rPr>
                <w:rFonts w:hint="eastAsia"/>
                <w:highlight w:val="none"/>
              </w:rPr>
              <w:t>% 或</w:t>
            </w:r>
            <w:r>
              <w:rPr>
                <w:rFonts w:hint="eastAsia"/>
                <w:highlight w:val="none"/>
                <w:u w:val="single"/>
              </w:rPr>
              <w:t xml:space="preserve"> / </w:t>
            </w:r>
            <w:r>
              <w:rPr>
                <w:rFonts w:hint="eastAsia"/>
                <w:highlight w:val="none"/>
              </w:rPr>
              <w:t>万元</w:t>
            </w:r>
          </w:p>
          <w:p>
            <w:pPr>
              <w:tabs>
                <w:tab w:val="clear" w:pos="426"/>
              </w:tabs>
              <w:adjustRightInd/>
              <w:snapToGrid/>
              <w:spacing w:line="240" w:lineRule="exact"/>
              <w:rPr>
                <w:highlight w:val="none"/>
              </w:rPr>
            </w:pPr>
            <w:r>
              <w:rPr>
                <w:rFonts w:hint="eastAsia"/>
                <w:highlight w:val="none"/>
              </w:rPr>
              <w:t>担保提交时间：收到中标通知书后，并在签订合同前提交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13</w:t>
            </w:r>
          </w:p>
        </w:tc>
        <w:tc>
          <w:tcPr>
            <w:tcW w:w="1700" w:type="dxa"/>
            <w:vAlign w:val="center"/>
          </w:tcPr>
          <w:p>
            <w:pPr>
              <w:tabs>
                <w:tab w:val="clear" w:pos="426"/>
              </w:tabs>
              <w:adjustRightInd/>
              <w:snapToGrid/>
              <w:spacing w:line="240" w:lineRule="exact"/>
              <w:rPr>
                <w:highlight w:val="none"/>
              </w:rPr>
            </w:pPr>
            <w:r>
              <w:rPr>
                <w:highlight w:val="none"/>
              </w:rPr>
              <w:t>投标文件份数</w:t>
            </w:r>
          </w:p>
        </w:tc>
        <w:tc>
          <w:tcPr>
            <w:tcW w:w="7195" w:type="dxa"/>
            <w:vAlign w:val="center"/>
          </w:tcPr>
          <w:p>
            <w:pPr>
              <w:tabs>
                <w:tab w:val="clear" w:pos="426"/>
              </w:tabs>
              <w:adjustRightInd/>
              <w:snapToGrid/>
              <w:spacing w:line="240" w:lineRule="exact"/>
              <w:rPr>
                <w:highlight w:val="none"/>
              </w:rPr>
            </w:pPr>
            <w:r>
              <w:rPr>
                <w:rFonts w:hint="eastAsia"/>
                <w:highlight w:val="none"/>
              </w:rPr>
              <w:t>（1）开标信封一份。</w:t>
            </w:r>
          </w:p>
          <w:p>
            <w:pPr>
              <w:tabs>
                <w:tab w:val="clear" w:pos="426"/>
              </w:tabs>
              <w:adjustRightInd/>
              <w:snapToGrid/>
              <w:spacing w:line="240" w:lineRule="exact"/>
              <w:rPr>
                <w:highlight w:val="none"/>
              </w:rPr>
            </w:pPr>
            <w:r>
              <w:rPr>
                <w:rFonts w:hint="eastAsia"/>
                <w:highlight w:val="none"/>
              </w:rPr>
              <w:t>（2）纸质投标文件</w:t>
            </w:r>
            <w:r>
              <w:rPr>
                <w:highlight w:val="none"/>
                <w:u w:val="single"/>
              </w:rPr>
              <w:t>一</w:t>
            </w:r>
            <w:r>
              <w:rPr>
                <w:highlight w:val="none"/>
              </w:rPr>
              <w:t>正本，</w:t>
            </w:r>
            <w:r>
              <w:rPr>
                <w:highlight w:val="none"/>
                <w:u w:val="single"/>
              </w:rPr>
              <w:t>四</w:t>
            </w:r>
            <w:r>
              <w:rPr>
                <w:highlight w:val="none"/>
              </w:rPr>
              <w:t>副本</w:t>
            </w:r>
            <w:r>
              <w:rPr>
                <w:rFonts w:hint="eastAsia"/>
                <w:highlight w:val="none"/>
              </w:rPr>
              <w:t>，建议胶装，统一密封在一个外密封包里。</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14</w:t>
            </w:r>
          </w:p>
        </w:tc>
        <w:tc>
          <w:tcPr>
            <w:tcW w:w="1700" w:type="dxa"/>
            <w:vAlign w:val="center"/>
          </w:tcPr>
          <w:p>
            <w:pPr>
              <w:tabs>
                <w:tab w:val="clear" w:pos="426"/>
              </w:tabs>
              <w:adjustRightInd/>
              <w:snapToGrid/>
              <w:spacing w:line="240" w:lineRule="exact"/>
              <w:rPr>
                <w:highlight w:val="none"/>
              </w:rPr>
            </w:pPr>
            <w:r>
              <w:rPr>
                <w:rFonts w:hint="eastAsia"/>
                <w:highlight w:val="none"/>
              </w:rPr>
              <w:t>投标文件电子版</w:t>
            </w:r>
          </w:p>
        </w:tc>
        <w:tc>
          <w:tcPr>
            <w:tcW w:w="7195" w:type="dxa"/>
            <w:vAlign w:val="center"/>
          </w:tcPr>
          <w:p>
            <w:pPr>
              <w:tabs>
                <w:tab w:val="clear" w:pos="426"/>
              </w:tabs>
              <w:adjustRightInd/>
              <w:snapToGrid/>
              <w:spacing w:line="240" w:lineRule="exact"/>
              <w:rPr>
                <w:highlight w:val="none"/>
              </w:rPr>
            </w:pPr>
            <w:r>
              <w:rPr>
                <w:rFonts w:hint="eastAsia"/>
                <w:highlight w:val="none"/>
              </w:rPr>
              <w:t>电子光盘一张（投标文件正本盖章后的彩色扫描件，</w:t>
            </w:r>
            <w:r>
              <w:rPr>
                <w:highlight w:val="none"/>
              </w:rPr>
              <w:t>PDF格式）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675" w:type="dxa"/>
            <w:vAlign w:val="center"/>
          </w:tcPr>
          <w:p>
            <w:pPr>
              <w:tabs>
                <w:tab w:val="clear" w:pos="426"/>
              </w:tabs>
              <w:adjustRightInd/>
              <w:snapToGrid/>
              <w:spacing w:line="240" w:lineRule="exact"/>
              <w:jc w:val="center"/>
              <w:rPr>
                <w:highlight w:val="none"/>
              </w:rPr>
            </w:pPr>
            <w:r>
              <w:rPr>
                <w:rFonts w:hint="eastAsia"/>
                <w:highlight w:val="none"/>
              </w:rPr>
              <w:t>15</w:t>
            </w:r>
          </w:p>
        </w:tc>
        <w:tc>
          <w:tcPr>
            <w:tcW w:w="1700" w:type="dxa"/>
            <w:vAlign w:val="center"/>
          </w:tcPr>
          <w:p>
            <w:pPr>
              <w:tabs>
                <w:tab w:val="clear" w:pos="426"/>
              </w:tabs>
              <w:adjustRightInd/>
              <w:snapToGrid/>
              <w:spacing w:line="240" w:lineRule="exact"/>
              <w:rPr>
                <w:highlight w:val="none"/>
              </w:rPr>
            </w:pPr>
            <w:r>
              <w:rPr>
                <w:rFonts w:hint="eastAsia"/>
                <w:highlight w:val="none"/>
              </w:rPr>
              <w:t>财政预算限额</w:t>
            </w:r>
          </w:p>
        </w:tc>
        <w:tc>
          <w:tcPr>
            <w:tcW w:w="7195" w:type="dxa"/>
            <w:vAlign w:val="center"/>
          </w:tcPr>
          <w:p>
            <w:pPr>
              <w:tabs>
                <w:tab w:val="clear" w:pos="426"/>
              </w:tabs>
              <w:adjustRightInd/>
              <w:snapToGrid/>
              <w:spacing w:line="240" w:lineRule="exact"/>
              <w:rPr>
                <w:color w:val="FF0000"/>
                <w:highlight w:val="none"/>
              </w:rPr>
            </w:pPr>
            <w:r>
              <w:rPr>
                <w:rFonts w:hint="eastAsia"/>
                <w:b/>
                <w:highlight w:val="none"/>
              </w:rPr>
              <w:t>金额：</w:t>
            </w:r>
            <w:r>
              <w:rPr>
                <w:rFonts w:hint="eastAsia"/>
                <w:b/>
                <w:highlight w:val="none"/>
                <w:u w:val="single"/>
              </w:rPr>
              <w:t>人民币陆拾柒万柒仟元整</w:t>
            </w:r>
            <w:r>
              <w:rPr>
                <w:b/>
                <w:highlight w:val="none"/>
                <w:u w:val="single"/>
              </w:rPr>
              <w:t>（</w:t>
            </w:r>
            <w:r>
              <w:rPr>
                <w:rFonts w:hint="eastAsia" w:eastAsia="微软雅黑"/>
                <w:b/>
                <w:highlight w:val="none"/>
                <w:u w:val="single"/>
              </w:rPr>
              <w:t>¥677，000.00</w:t>
            </w:r>
            <w:r>
              <w:rPr>
                <w:rFonts w:hint="eastAsia"/>
                <w:b/>
                <w:highlight w:val="none"/>
                <w:u w:val="single"/>
              </w:rPr>
              <w:t>元</w:t>
            </w:r>
            <w:r>
              <w:rPr>
                <w:b/>
                <w:highlight w:val="none"/>
                <w:u w:val="single"/>
              </w:rPr>
              <w:t>）</w:t>
            </w:r>
            <w:r>
              <w:rPr>
                <w:rFonts w:hint="eastAsia"/>
                <w:b/>
                <w:highlight w:val="none"/>
                <w:u w:val="single"/>
              </w:rPr>
              <w:t>，</w:t>
            </w:r>
            <w:r>
              <w:rPr>
                <w:rFonts w:hint="eastAsia"/>
                <w:highlight w:val="none"/>
              </w:rPr>
              <w:t>分项预算限额详见货物清单一览表，超出财政预算限额或分项预算限额的投标文件将不被接受。</w:t>
            </w:r>
          </w:p>
        </w:tc>
      </w:tr>
    </w:tbl>
    <w:p>
      <w:pPr>
        <w:pStyle w:val="33"/>
        <w:tabs>
          <w:tab w:val="clear" w:pos="426"/>
        </w:tabs>
        <w:rPr>
          <w:highlight w:val="none"/>
        </w:rPr>
      </w:pPr>
      <w:r>
        <w:rPr>
          <w:highlight w:val="none"/>
        </w:rPr>
        <w:br w:type="page"/>
      </w:r>
      <w:bookmarkStart w:id="48" w:name="_Toc5875390"/>
      <w:bookmarkStart w:id="49" w:name="_Toc19604"/>
      <w:bookmarkStart w:id="50" w:name="_Toc398220525"/>
      <w:bookmarkStart w:id="51" w:name="_Toc432592816"/>
      <w:r>
        <w:rPr>
          <w:rFonts w:hint="eastAsia"/>
          <w:highlight w:val="none"/>
        </w:rPr>
        <w:t>第三章</w:t>
      </w:r>
      <w:r>
        <w:rPr>
          <w:highlight w:val="none"/>
        </w:rPr>
        <w:t>项目</w:t>
      </w:r>
      <w:r>
        <w:rPr>
          <w:rFonts w:hint="eastAsia"/>
          <w:highlight w:val="none"/>
        </w:rPr>
        <w:t>需求</w:t>
      </w:r>
      <w:bookmarkEnd w:id="48"/>
      <w:bookmarkEnd w:id="49"/>
    </w:p>
    <w:p>
      <w:pPr>
        <w:jc w:val="center"/>
        <w:outlineLvl w:val="2"/>
        <w:rPr>
          <w:b/>
          <w:bCs/>
          <w:sz w:val="24"/>
          <w:highlight w:val="none"/>
        </w:rPr>
      </w:pPr>
      <w:r>
        <w:rPr>
          <w:rFonts w:hint="eastAsia"/>
          <w:b/>
          <w:bCs/>
          <w:sz w:val="24"/>
          <w:highlight w:val="none"/>
        </w:rPr>
        <w:t>一、单位简介</w:t>
      </w:r>
    </w:p>
    <w:p>
      <w:pPr>
        <w:tabs>
          <w:tab w:val="left" w:pos="851"/>
          <w:tab w:val="clear" w:pos="426"/>
        </w:tabs>
        <w:spacing w:before="120" w:after="120"/>
        <w:ind w:firstLine="480" w:firstLineChars="200"/>
        <w:rPr>
          <w:sz w:val="24"/>
          <w:highlight w:val="none"/>
        </w:rPr>
      </w:pPr>
      <w:r>
        <w:rPr>
          <w:rFonts w:hint="eastAsia"/>
          <w:sz w:val="24"/>
          <w:highlight w:val="none"/>
        </w:rPr>
        <w:t>深圳市南头中学是一所百年老校，其前身为清朝嘉庆年间的“凤冈书院”，始建于1801年，至今已有200多年的历史。南中学子遍布海内外，因其独特的历史地位和办学影响，被誉为“深圳教育的根”。</w:t>
      </w:r>
    </w:p>
    <w:p>
      <w:pPr>
        <w:tabs>
          <w:tab w:val="left" w:pos="851"/>
          <w:tab w:val="clear" w:pos="426"/>
        </w:tabs>
        <w:spacing w:before="120" w:after="120"/>
        <w:ind w:firstLine="480" w:firstLineChars="200"/>
        <w:rPr>
          <w:sz w:val="24"/>
          <w:highlight w:val="none"/>
        </w:rPr>
      </w:pPr>
      <w:r>
        <w:rPr>
          <w:rFonts w:hint="eastAsia"/>
          <w:sz w:val="24"/>
          <w:highlight w:val="none"/>
        </w:rPr>
        <w:t>学校占地近7万平方米，现有60个教学班，在读学生总数近2700人，是南山区规模最大的公办普通高中。学校占地约5万2千平方米，依山傍海，环境秀丽。教学楼、科学楼、功能楼、行政办公楼、学生公寓、师生食堂群楼耸立；标准的</w:t>
      </w:r>
      <w:r>
        <w:rPr>
          <w:highlight w:val="none"/>
        </w:rPr>
        <w:fldChar w:fldCharType="begin"/>
      </w:r>
      <w:r>
        <w:rPr>
          <w:highlight w:val="none"/>
        </w:rPr>
        <w:instrText xml:space="preserve"> HYPERLINK "https://baike.baidu.com/item/400%E7%B1%B3%E5%A1%91%E8%83%B6%E8%B7%91%E9%81%93/4565868" \t "https://baike.baidu.com/item/%E5%8D%97%E5%A4%B4%E4%B8%AD%E5%AD%A6/_blank" </w:instrText>
      </w:r>
      <w:r>
        <w:rPr>
          <w:highlight w:val="none"/>
        </w:rPr>
        <w:fldChar w:fldCharType="separate"/>
      </w:r>
      <w:r>
        <w:rPr>
          <w:rFonts w:hint="eastAsia"/>
          <w:sz w:val="24"/>
          <w:highlight w:val="none"/>
        </w:rPr>
        <w:t>400米塑胶跑道</w:t>
      </w:r>
      <w:r>
        <w:rPr>
          <w:rFonts w:hint="eastAsia"/>
          <w:sz w:val="24"/>
          <w:highlight w:val="none"/>
        </w:rPr>
        <w:fldChar w:fldCharType="end"/>
      </w:r>
      <w:r>
        <w:rPr>
          <w:rFonts w:hint="eastAsia"/>
          <w:sz w:val="24"/>
          <w:highlight w:val="none"/>
        </w:rPr>
        <w:t>运动场，古木参天的校园，雄伟壮观的校门，尽显百年老校的青春活力。</w:t>
      </w:r>
    </w:p>
    <w:p>
      <w:pPr>
        <w:jc w:val="center"/>
        <w:outlineLvl w:val="2"/>
        <w:rPr>
          <w:highlight w:val="none"/>
        </w:rPr>
      </w:pPr>
      <w:r>
        <w:rPr>
          <w:rFonts w:hint="eastAsia"/>
          <w:highlight w:val="none"/>
        </w:rPr>
        <w:t>二、</w:t>
      </w:r>
      <w:r>
        <w:rPr>
          <w:rFonts w:hint="eastAsia"/>
          <w:b/>
          <w:bCs/>
          <w:sz w:val="24"/>
          <w:highlight w:val="none"/>
        </w:rPr>
        <w:t>项目概况</w:t>
      </w:r>
    </w:p>
    <w:p>
      <w:pPr>
        <w:tabs>
          <w:tab w:val="left" w:pos="851"/>
          <w:tab w:val="clear" w:pos="426"/>
        </w:tabs>
        <w:spacing w:before="120" w:after="120"/>
        <w:ind w:firstLine="480" w:firstLineChars="200"/>
        <w:rPr>
          <w:sz w:val="24"/>
          <w:highlight w:val="none"/>
        </w:rPr>
      </w:pPr>
      <w:r>
        <w:rPr>
          <w:rFonts w:hint="eastAsia"/>
          <w:sz w:val="24"/>
          <w:highlight w:val="none"/>
        </w:rPr>
        <w:t>深圳市南头中学位于深圳市南山区，是南山区规模最大的公办普通高中。学校始建于1801年，其前身为清朝嘉庆年间的“凤冈书院”，至今已有218年历史，校友遍及海内外，被誉为“深圳教育的根”。两个世纪以来，百年南中积淀； 厚重的文化底蕴，形成了“书院文化、革命文化、海洋文化”三大文化传统，形成了人文教育与个性教育两大特色。学校现为国家级示范性普通高中、广东省一级学校、广东省教学水平优秀学校，并获得深圳市高中教育教学先进单位、深圳市高考先进单位、深圳市高考卓越奖、深圳市办学效益奖、广东省书香校园、深圳市校园文化特色学校、深圳市第一所百年老校、南山区第一个省高考状元、深圳市首批、南山区第一所国家级示范性普通高中、广东省首批“广东省普通高中教学水平优秀学校”、深圳市第一个高中学生社团联盟、全国第一家中学生专门性诗歌教育网站等奖励或荣誉。学校弘扬“务实、规范、高效”的工作作风，实施“文化引领发展，内涵提升品质”的办学战略。</w:t>
      </w:r>
    </w:p>
    <w:p>
      <w:pPr>
        <w:tabs>
          <w:tab w:val="left" w:pos="851"/>
          <w:tab w:val="left" w:pos="993"/>
          <w:tab w:val="clear" w:pos="426"/>
        </w:tabs>
        <w:spacing w:before="120" w:after="120"/>
        <w:jc w:val="center"/>
        <w:outlineLvl w:val="2"/>
        <w:rPr>
          <w:b/>
          <w:sz w:val="24"/>
          <w:highlight w:val="none"/>
        </w:rPr>
      </w:pPr>
      <w:r>
        <w:rPr>
          <w:rFonts w:hint="eastAsia"/>
          <w:highlight w:val="none"/>
        </w:rPr>
        <w:t>三、</w:t>
      </w:r>
      <w:r>
        <w:rPr>
          <w:rFonts w:hint="eastAsia"/>
          <w:b/>
          <w:sz w:val="24"/>
          <w:highlight w:val="none"/>
        </w:rPr>
        <w:t>现状及需求分析</w:t>
      </w:r>
    </w:p>
    <w:p>
      <w:pPr>
        <w:tabs>
          <w:tab w:val="left" w:pos="851"/>
          <w:tab w:val="left" w:pos="1134"/>
        </w:tabs>
        <w:spacing w:before="120" w:after="120"/>
        <w:ind w:firstLine="0" w:firstLineChars="0"/>
        <w:rPr>
          <w:bCs/>
          <w:sz w:val="24"/>
          <w:highlight w:val="none"/>
        </w:rPr>
      </w:pPr>
      <w:r>
        <w:rPr>
          <w:sz w:val="24"/>
          <w:highlight w:val="none"/>
        </w:rPr>
        <w:t>3.1</w:t>
      </w:r>
      <w:r>
        <w:rPr>
          <w:rFonts w:hint="eastAsia"/>
          <w:bCs/>
          <w:sz w:val="24"/>
          <w:highlight w:val="none"/>
        </w:rPr>
        <w:t>需求分析：</w:t>
      </w:r>
    </w:p>
    <w:p>
      <w:pPr>
        <w:tabs>
          <w:tab w:val="left" w:pos="1134"/>
          <w:tab w:val="clear" w:pos="426"/>
        </w:tabs>
        <w:spacing w:before="120"/>
        <w:ind w:firstLine="480" w:firstLineChars="200"/>
        <w:rPr>
          <w:bCs/>
          <w:sz w:val="24"/>
          <w:highlight w:val="none"/>
        </w:rPr>
      </w:pPr>
      <w:r>
        <w:rPr>
          <w:rFonts w:hint="eastAsia"/>
          <w:bCs/>
          <w:sz w:val="24"/>
          <w:highlight w:val="none"/>
        </w:rPr>
        <w:t>教育信息化是国家信息化的重要组成部分，是教育现代化的重要内容和主要标志，对教育的发展具有革命性的影响。为加快我校信息化的建设步伐，以带动南头中学现代化的发展，结合实际，通过整体规划、分阶段建设的途径，逐步实现信息化的目标。建立信息化应用支撑平台是建设信息化标准体系的关键组成部分，能够全面提升教育信息化公共服务能力，不断提升信息化应用的层次和水平，为教育改革和发展提供持续的信息化智力支持和实践经验。</w:t>
      </w:r>
    </w:p>
    <w:p>
      <w:pPr>
        <w:tabs>
          <w:tab w:val="left" w:pos="1134"/>
          <w:tab w:val="clear" w:pos="426"/>
        </w:tabs>
        <w:spacing w:before="120"/>
        <w:ind w:firstLine="480" w:firstLineChars="200"/>
        <w:rPr>
          <w:bCs/>
          <w:sz w:val="24"/>
          <w:highlight w:val="none"/>
        </w:rPr>
      </w:pPr>
      <w:r>
        <w:rPr>
          <w:rFonts w:hint="eastAsia"/>
          <w:bCs/>
          <w:sz w:val="24"/>
          <w:highlight w:val="none"/>
        </w:rPr>
        <w:t>南头中学展示馆，做为南中悠久人文内涵展示的窗口，传达了不一样的精神理念和气质：追本溯源，传承文化经典；日新月异，传统交织新潮。</w:t>
      </w:r>
    </w:p>
    <w:p>
      <w:pPr>
        <w:tabs>
          <w:tab w:val="left" w:pos="1134"/>
          <w:tab w:val="clear" w:pos="426"/>
        </w:tabs>
        <w:spacing w:before="120"/>
        <w:ind w:firstLine="480" w:firstLineChars="200"/>
        <w:rPr>
          <w:bCs/>
          <w:sz w:val="24"/>
          <w:highlight w:val="none"/>
        </w:rPr>
      </w:pPr>
      <w:r>
        <w:rPr>
          <w:rFonts w:hint="eastAsia"/>
          <w:bCs/>
          <w:sz w:val="24"/>
          <w:highlight w:val="none"/>
        </w:rPr>
        <w:t>展馆的设计，旨在打造具有浓重时代主题的“特色中学展示馆”,主要从以下几个方面表现：</w:t>
      </w:r>
    </w:p>
    <w:p>
      <w:pPr>
        <w:tabs>
          <w:tab w:val="left" w:pos="1134"/>
          <w:tab w:val="clear" w:pos="426"/>
        </w:tabs>
        <w:spacing w:before="120"/>
        <w:jc w:val="left"/>
        <w:rPr>
          <w:bCs/>
          <w:sz w:val="24"/>
          <w:highlight w:val="none"/>
        </w:rPr>
      </w:pPr>
      <w:r>
        <w:rPr>
          <w:rFonts w:hint="eastAsia"/>
          <w:bCs/>
          <w:sz w:val="24"/>
          <w:highlight w:val="none"/>
        </w:rPr>
        <w:t>（1）展馆秉承开放的设计理念，运用现代化的设计手法，与南头中学浓厚的文化底蕴进行有机的结合，打造了一个注重文化性，体验性，开放、包容而富有活力的展示馆。</w:t>
      </w:r>
    </w:p>
    <w:p>
      <w:pPr>
        <w:tabs>
          <w:tab w:val="left" w:pos="1134"/>
          <w:tab w:val="clear" w:pos="426"/>
        </w:tabs>
        <w:spacing w:before="120"/>
        <w:rPr>
          <w:bCs/>
          <w:sz w:val="24"/>
          <w:highlight w:val="none"/>
        </w:rPr>
      </w:pPr>
      <w:r>
        <w:rPr>
          <w:rFonts w:hint="eastAsia"/>
          <w:bCs/>
          <w:sz w:val="24"/>
          <w:highlight w:val="none"/>
        </w:rPr>
        <w:t>（2）展馆从自身底蕴出发，重点突出“传承、发展、创新”,凸显“书院文化、革命文化、海洋文化”三大文化特色，营造主题似的体验空间。</w:t>
      </w:r>
    </w:p>
    <w:p>
      <w:pPr>
        <w:tabs>
          <w:tab w:val="left" w:pos="1134"/>
          <w:tab w:val="clear" w:pos="426"/>
        </w:tabs>
        <w:spacing w:before="120"/>
        <w:rPr>
          <w:bCs/>
          <w:sz w:val="24"/>
          <w:highlight w:val="none"/>
        </w:rPr>
      </w:pPr>
      <w:r>
        <w:rPr>
          <w:rFonts w:hint="eastAsia"/>
          <w:bCs/>
          <w:sz w:val="24"/>
          <w:highlight w:val="none"/>
        </w:rPr>
        <w:t>（3）依托深圳科技前沿平台与技术，依据新时代背景下人们信息获取方式的转变，构建人性化，智能化，可持续化的展示传播平台。</w:t>
      </w:r>
    </w:p>
    <w:p>
      <w:pPr>
        <w:tabs>
          <w:tab w:val="left" w:pos="851"/>
          <w:tab w:val="left" w:pos="1135"/>
          <w:tab w:val="clear" w:pos="426"/>
        </w:tabs>
        <w:spacing w:before="120" w:after="120"/>
        <w:rPr>
          <w:sz w:val="24"/>
          <w:highlight w:val="none"/>
        </w:rPr>
      </w:pPr>
      <w:bookmarkStart w:id="52" w:name="_Toc514195870"/>
      <w:bookmarkStart w:id="53" w:name="_Toc245986364"/>
      <w:r>
        <w:rPr>
          <w:sz w:val="24"/>
          <w:highlight w:val="none"/>
        </w:rPr>
        <w:t>3.2</w:t>
      </w:r>
      <w:r>
        <w:rPr>
          <w:rFonts w:hint="eastAsia"/>
          <w:sz w:val="24"/>
          <w:highlight w:val="none"/>
        </w:rPr>
        <w:t>现状描述</w:t>
      </w:r>
      <w:bookmarkEnd w:id="52"/>
      <w:bookmarkEnd w:id="53"/>
    </w:p>
    <w:p>
      <w:pPr>
        <w:tabs>
          <w:tab w:val="left" w:pos="1135"/>
          <w:tab w:val="clear" w:pos="426"/>
        </w:tabs>
        <w:spacing w:before="120" w:after="120"/>
        <w:ind w:firstLine="480" w:firstLineChars="200"/>
        <w:rPr>
          <w:sz w:val="24"/>
          <w:highlight w:val="none"/>
        </w:rPr>
      </w:pPr>
      <w:r>
        <w:rPr>
          <w:sz w:val="24"/>
          <w:highlight w:val="none"/>
        </w:rPr>
        <w:t>3.</w:t>
      </w:r>
      <w:r>
        <w:rPr>
          <w:rFonts w:hint="eastAsia"/>
          <w:sz w:val="24"/>
          <w:highlight w:val="none"/>
        </w:rPr>
        <w:t>2.1 项目建设的必要性：</w:t>
      </w:r>
    </w:p>
    <w:p>
      <w:pPr>
        <w:numPr>
          <w:ilvl w:val="0"/>
          <w:numId w:val="23"/>
        </w:numPr>
        <w:tabs>
          <w:tab w:val="left" w:pos="1135"/>
          <w:tab w:val="clear" w:pos="426"/>
        </w:tabs>
        <w:spacing w:before="120" w:after="120"/>
        <w:ind w:firstLine="480" w:firstLineChars="200"/>
        <w:rPr>
          <w:sz w:val="24"/>
          <w:highlight w:val="none"/>
        </w:rPr>
      </w:pPr>
      <w:r>
        <w:rPr>
          <w:rFonts w:hint="eastAsia"/>
          <w:sz w:val="24"/>
          <w:highlight w:val="none"/>
        </w:rPr>
        <w:t>信息技术对教育发展具有革命性影响。信息技术的广泛应用，不仅突破了教育的时空界限，也改变了传统的教育、学习方式。因此，顺应时代发展的潮流，与时俱进，构建南头中学多媒体智能化展厅，是教育发展与改革的重要途径。多媒体智能化展厅的建设有利于教育教学资源的共享和辐射。</w:t>
      </w:r>
    </w:p>
    <w:p>
      <w:pPr>
        <w:numPr>
          <w:ilvl w:val="0"/>
          <w:numId w:val="23"/>
        </w:numPr>
        <w:tabs>
          <w:tab w:val="left" w:pos="1135"/>
          <w:tab w:val="clear" w:pos="426"/>
        </w:tabs>
        <w:spacing w:before="120" w:after="120"/>
        <w:ind w:firstLine="480" w:firstLineChars="200"/>
        <w:rPr>
          <w:sz w:val="24"/>
          <w:highlight w:val="none"/>
        </w:rPr>
      </w:pPr>
      <w:r>
        <w:rPr>
          <w:rFonts w:hint="eastAsia"/>
          <w:sz w:val="24"/>
          <w:highlight w:val="none"/>
        </w:rPr>
        <w:t>面对知识全球化和民族素质提高的教育要求，信息化不仅改变着人们的生产方式和生活方式，而且改变着人们思维方式和学习方式，多媒体智能化展厅的建设，有利于使我校走向社会科技的前沿，让外界更好的了解南头中学。</w:t>
      </w:r>
    </w:p>
    <w:p>
      <w:pPr>
        <w:numPr>
          <w:ilvl w:val="0"/>
          <w:numId w:val="23"/>
        </w:numPr>
        <w:tabs>
          <w:tab w:val="left" w:pos="1135"/>
          <w:tab w:val="clear" w:pos="426"/>
        </w:tabs>
        <w:spacing w:before="120" w:after="120"/>
        <w:ind w:firstLine="480" w:firstLineChars="200"/>
        <w:rPr>
          <w:sz w:val="24"/>
          <w:highlight w:val="none"/>
        </w:rPr>
      </w:pPr>
      <w:r>
        <w:rPr>
          <w:sz w:val="24"/>
          <w:highlight w:val="none"/>
        </w:rPr>
        <w:t>学校信息化是指学校为适应信息化社会的要求，营造信息应用环境，整合教育资源，促进和深化</w:t>
      </w:r>
      <w:r>
        <w:rPr>
          <w:rFonts w:hint="eastAsia"/>
          <w:sz w:val="24"/>
          <w:highlight w:val="none"/>
        </w:rPr>
        <w:t>学校</w:t>
      </w:r>
      <w:r>
        <w:rPr>
          <w:sz w:val="24"/>
          <w:highlight w:val="none"/>
        </w:rPr>
        <w:t>全过程的信息化</w:t>
      </w:r>
      <w:r>
        <w:rPr>
          <w:rFonts w:hint="eastAsia"/>
          <w:sz w:val="24"/>
          <w:highlight w:val="none"/>
        </w:rPr>
        <w:t>。</w:t>
      </w:r>
    </w:p>
    <w:p>
      <w:pPr>
        <w:tabs>
          <w:tab w:val="left" w:pos="1135"/>
          <w:tab w:val="clear" w:pos="426"/>
        </w:tabs>
        <w:spacing w:before="120" w:after="120"/>
        <w:rPr>
          <w:sz w:val="24"/>
          <w:highlight w:val="none"/>
        </w:rPr>
      </w:pPr>
      <w:r>
        <w:rPr>
          <w:rFonts w:hint="eastAsia"/>
          <w:sz w:val="24"/>
          <w:highlight w:val="none"/>
        </w:rPr>
        <w:t xml:space="preserve">   </w:t>
      </w:r>
      <w:r>
        <w:rPr>
          <w:sz w:val="24"/>
          <w:highlight w:val="none"/>
        </w:rPr>
        <w:t>3.</w:t>
      </w:r>
      <w:r>
        <w:rPr>
          <w:rFonts w:hint="eastAsia"/>
          <w:sz w:val="24"/>
          <w:highlight w:val="none"/>
        </w:rPr>
        <w:t>2.2 项目建设的可行性</w:t>
      </w:r>
    </w:p>
    <w:p>
      <w:pPr>
        <w:tabs>
          <w:tab w:val="left" w:pos="1135"/>
          <w:tab w:val="clear" w:pos="426"/>
        </w:tabs>
        <w:spacing w:before="120" w:after="120"/>
        <w:rPr>
          <w:sz w:val="24"/>
          <w:highlight w:val="none"/>
        </w:rPr>
      </w:pPr>
      <w:r>
        <w:rPr>
          <w:rFonts w:hint="eastAsia"/>
          <w:sz w:val="24"/>
          <w:highlight w:val="none"/>
        </w:rPr>
        <w:t xml:space="preserve">   1、社会发展形势决定了多媒体智能化展厅建设的广阔前景</w:t>
      </w:r>
    </w:p>
    <w:p>
      <w:pPr>
        <w:tabs>
          <w:tab w:val="left" w:pos="1135"/>
          <w:tab w:val="clear" w:pos="426"/>
        </w:tabs>
        <w:spacing w:before="120" w:after="120"/>
        <w:ind w:firstLine="480" w:firstLineChars="200"/>
        <w:rPr>
          <w:sz w:val="24"/>
          <w:highlight w:val="none"/>
        </w:rPr>
      </w:pPr>
      <w:r>
        <w:rPr>
          <w:rFonts w:hint="eastAsia"/>
          <w:sz w:val="24"/>
          <w:highlight w:val="none"/>
        </w:rPr>
        <w:t>互联网时代的今天，多媒体计算机技术、交互式多媒体技术使得教学达到了声、图、文并茂的最佳效果。在不同的多媒体展现方式中，可以在很大程度上脱离物理空间时间的限制，更多的可以实现展现方式多元化。</w:t>
      </w:r>
    </w:p>
    <w:p>
      <w:pPr>
        <w:tabs>
          <w:tab w:val="left" w:pos="1135"/>
          <w:tab w:val="clear" w:pos="426"/>
        </w:tabs>
        <w:spacing w:before="120" w:after="120"/>
        <w:ind w:firstLine="480" w:firstLineChars="200"/>
        <w:jc w:val="left"/>
        <w:rPr>
          <w:sz w:val="24"/>
          <w:highlight w:val="none"/>
        </w:rPr>
      </w:pPr>
      <w:r>
        <w:rPr>
          <w:rFonts w:hint="eastAsia"/>
          <w:sz w:val="24"/>
          <w:highlight w:val="none"/>
        </w:rPr>
        <w:t>2、党和政府的高度重视为多媒体智能化展厅建设提供重要保障</w:t>
      </w:r>
    </w:p>
    <w:p>
      <w:pPr>
        <w:tabs>
          <w:tab w:val="left" w:pos="1135"/>
          <w:tab w:val="clear" w:pos="426"/>
        </w:tabs>
        <w:spacing w:before="120" w:after="120"/>
        <w:ind w:firstLine="480" w:firstLineChars="200"/>
        <w:jc w:val="left"/>
        <w:rPr>
          <w:sz w:val="24"/>
          <w:highlight w:val="none"/>
        </w:rPr>
      </w:pPr>
      <w:r>
        <w:rPr>
          <w:rFonts w:hint="eastAsia"/>
          <w:sz w:val="24"/>
          <w:highlight w:val="none"/>
        </w:rPr>
        <w:t>近年来，党和政府对教育信息化建设越来越重视，投入不断增加，随着一系列教育信息化工程的实施，我国教育信息化建设取得显著成果，教育信息化已成为促进教育改革和发展，推动教育现代化进程的重要支撑。</w:t>
      </w:r>
    </w:p>
    <w:p>
      <w:pPr>
        <w:tabs>
          <w:tab w:val="left" w:pos="1135"/>
          <w:tab w:val="clear" w:pos="426"/>
        </w:tabs>
        <w:spacing w:before="120" w:after="120"/>
        <w:ind w:left="360"/>
        <w:rPr>
          <w:sz w:val="24"/>
          <w:highlight w:val="none"/>
        </w:rPr>
      </w:pPr>
      <w:r>
        <w:rPr>
          <w:rFonts w:hint="eastAsia"/>
          <w:sz w:val="24"/>
          <w:highlight w:val="none"/>
        </w:rPr>
        <w:t>3、学校现有条件为多媒体智能化展厅建设奠定基础</w:t>
      </w:r>
    </w:p>
    <w:p>
      <w:pPr>
        <w:tabs>
          <w:tab w:val="left" w:pos="1135"/>
          <w:tab w:val="clear" w:pos="426"/>
        </w:tabs>
        <w:spacing w:before="120" w:after="120"/>
        <w:ind w:firstLine="480" w:firstLineChars="200"/>
        <w:rPr>
          <w:sz w:val="24"/>
          <w:highlight w:val="none"/>
        </w:rPr>
      </w:pPr>
      <w:r>
        <w:rPr>
          <w:rFonts w:hint="eastAsia"/>
          <w:sz w:val="24"/>
          <w:highlight w:val="none"/>
        </w:rPr>
        <w:t>近年来，学校的智能信息化建设在各单位的大力支持下已形成了良好的网络基础环境，积累了大量的数字资源。</w:t>
      </w:r>
    </w:p>
    <w:p>
      <w:pPr>
        <w:tabs>
          <w:tab w:val="left" w:pos="1135"/>
          <w:tab w:val="clear" w:pos="426"/>
        </w:tabs>
        <w:spacing w:before="120" w:after="120"/>
        <w:ind w:left="360"/>
        <w:rPr>
          <w:sz w:val="24"/>
          <w:highlight w:val="none"/>
        </w:rPr>
      </w:pPr>
      <w:r>
        <w:rPr>
          <w:rFonts w:hint="eastAsia"/>
          <w:sz w:val="24"/>
          <w:highlight w:val="none"/>
        </w:rPr>
        <w:t>（1）信息化基础设施建设基本完备</w:t>
      </w:r>
    </w:p>
    <w:p>
      <w:pPr>
        <w:numPr>
          <w:ilvl w:val="0"/>
          <w:numId w:val="24"/>
        </w:numPr>
        <w:tabs>
          <w:tab w:val="left" w:pos="1135"/>
          <w:tab w:val="clear" w:pos="426"/>
        </w:tabs>
        <w:spacing w:before="120" w:after="120"/>
        <w:rPr>
          <w:sz w:val="24"/>
          <w:highlight w:val="none"/>
        </w:rPr>
      </w:pPr>
      <w:r>
        <w:rPr>
          <w:rFonts w:hint="eastAsia"/>
          <w:sz w:val="24"/>
          <w:highlight w:val="none"/>
        </w:rPr>
        <w:t>网络基础服务内容丰富</w:t>
      </w:r>
    </w:p>
    <w:p>
      <w:pPr>
        <w:numPr>
          <w:ilvl w:val="0"/>
          <w:numId w:val="25"/>
        </w:numPr>
        <w:tabs>
          <w:tab w:val="left" w:pos="1135"/>
          <w:tab w:val="clear" w:pos="426"/>
        </w:tabs>
        <w:spacing w:before="120" w:after="120"/>
        <w:jc w:val="center"/>
        <w:outlineLvl w:val="2"/>
        <w:rPr>
          <w:b/>
          <w:bCs/>
          <w:sz w:val="24"/>
          <w:highlight w:val="none"/>
        </w:rPr>
      </w:pPr>
      <w:r>
        <w:rPr>
          <w:rFonts w:hint="eastAsia"/>
          <w:b/>
          <w:bCs/>
          <w:sz w:val="24"/>
          <w:highlight w:val="none"/>
        </w:rPr>
        <w:t>预期目标</w:t>
      </w:r>
    </w:p>
    <w:p>
      <w:pPr>
        <w:tabs>
          <w:tab w:val="left" w:pos="851"/>
          <w:tab w:val="clear" w:pos="426"/>
        </w:tabs>
        <w:spacing w:before="120" w:after="120"/>
        <w:ind w:firstLine="480" w:firstLineChars="200"/>
        <w:rPr>
          <w:sz w:val="24"/>
          <w:highlight w:val="none"/>
        </w:rPr>
      </w:pPr>
      <w:r>
        <w:rPr>
          <w:rFonts w:hint="eastAsia"/>
          <w:sz w:val="24"/>
          <w:highlight w:val="none"/>
        </w:rPr>
        <w:t>南头中学校史馆设备及软件开发项目的实施与使用，是为了让师生、校友更深入的认识母校；是为了增进南中人的自豪感、热爱感；是为了让专家、媒体能更好的研究教育历史，探索百年南中；是为了让领导和广大人民群众了解南中风采，关注与认可南中。通过展馆的建立与展示，可以感受南中精神、体验其文化底蕴；也可以见证南中百年不断进步，造就的累累硕果；也将成为南中对外宣传的窗口平台。此展厅的建设与使用具有重要的历史意义。</w:t>
      </w:r>
    </w:p>
    <w:p>
      <w:pPr>
        <w:numPr>
          <w:ilvl w:val="0"/>
          <w:numId w:val="25"/>
        </w:numPr>
        <w:tabs>
          <w:tab w:val="left" w:pos="1135"/>
          <w:tab w:val="clear" w:pos="426"/>
        </w:tabs>
        <w:spacing w:before="120" w:after="120"/>
        <w:jc w:val="center"/>
        <w:outlineLvl w:val="2"/>
        <w:rPr>
          <w:b/>
          <w:bCs/>
          <w:sz w:val="24"/>
          <w:highlight w:val="none"/>
        </w:rPr>
      </w:pPr>
      <w:r>
        <w:rPr>
          <w:rFonts w:hint="eastAsia"/>
          <w:b/>
          <w:bCs/>
          <w:sz w:val="24"/>
          <w:highlight w:val="none"/>
        </w:rPr>
        <w:t>总体设计</w:t>
      </w:r>
    </w:p>
    <w:p>
      <w:pPr>
        <w:tabs>
          <w:tab w:val="left" w:pos="851"/>
          <w:tab w:val="left" w:pos="1135"/>
        </w:tabs>
        <w:spacing w:before="120" w:after="120"/>
        <w:ind w:left="0"/>
        <w:rPr>
          <w:sz w:val="24"/>
          <w:highlight w:val="none"/>
        </w:rPr>
      </w:pPr>
      <w:bookmarkStart w:id="54" w:name="_Toc514195876"/>
      <w:r>
        <w:rPr>
          <w:rFonts w:hint="eastAsia"/>
          <w:sz w:val="24"/>
          <w:highlight w:val="none"/>
        </w:rPr>
        <w:t>5</w:t>
      </w:r>
      <w:r>
        <w:rPr>
          <w:sz w:val="24"/>
          <w:highlight w:val="none"/>
        </w:rPr>
        <w:t>.1</w:t>
      </w:r>
      <w:r>
        <w:rPr>
          <w:rFonts w:hint="eastAsia"/>
          <w:sz w:val="24"/>
          <w:highlight w:val="none"/>
        </w:rPr>
        <w:t>设计原则与思路</w:t>
      </w:r>
      <w:bookmarkEnd w:id="54"/>
    </w:p>
    <w:p>
      <w:pPr>
        <w:ind w:firstLine="480" w:firstLineChars="200"/>
        <w:rPr>
          <w:sz w:val="24"/>
          <w:highlight w:val="none"/>
        </w:rPr>
      </w:pPr>
      <w:r>
        <w:rPr>
          <w:sz w:val="24"/>
          <w:highlight w:val="none"/>
        </w:rPr>
        <w:t>从学校的战略部署出发，与时俱进，满足师生对</w:t>
      </w:r>
      <w:r>
        <w:rPr>
          <w:rFonts w:hint="eastAsia"/>
          <w:sz w:val="24"/>
          <w:highlight w:val="none"/>
        </w:rPr>
        <w:t>多媒体智能化展厅</w:t>
      </w:r>
      <w:r>
        <w:rPr>
          <w:sz w:val="24"/>
          <w:highlight w:val="none"/>
        </w:rPr>
        <w:t xml:space="preserve">的需求，坚持统筹规划, 分步实施；突出重点，促进应用；加深融合，提升服务的原则。 </w:t>
      </w:r>
    </w:p>
    <w:p>
      <w:pPr>
        <w:ind w:firstLine="480" w:firstLineChars="200"/>
        <w:rPr>
          <w:sz w:val="24"/>
          <w:highlight w:val="none"/>
        </w:rPr>
      </w:pPr>
      <w:r>
        <w:rPr>
          <w:sz w:val="24"/>
          <w:highlight w:val="none"/>
        </w:rPr>
        <w:t>1</w:t>
      </w:r>
      <w:r>
        <w:rPr>
          <w:rFonts w:hint="eastAsia"/>
          <w:sz w:val="24"/>
          <w:highlight w:val="none"/>
        </w:rPr>
        <w:t>、</w:t>
      </w:r>
      <w:r>
        <w:rPr>
          <w:sz w:val="24"/>
          <w:highlight w:val="none"/>
        </w:rPr>
        <w:t xml:space="preserve">顶层设计、整体规划  </w:t>
      </w:r>
    </w:p>
    <w:p>
      <w:pPr>
        <w:ind w:firstLine="480" w:firstLineChars="200"/>
        <w:rPr>
          <w:sz w:val="24"/>
          <w:highlight w:val="none"/>
        </w:rPr>
      </w:pPr>
      <w:r>
        <w:rPr>
          <w:sz w:val="24"/>
          <w:highlight w:val="none"/>
        </w:rPr>
        <w:t xml:space="preserve">全面考虑学校信息化建设需求，所有项目建设纳入统筹规划，制定学校长期和短期的建设规划。 </w:t>
      </w:r>
    </w:p>
    <w:p>
      <w:pPr>
        <w:ind w:firstLine="480" w:firstLineChars="200"/>
        <w:rPr>
          <w:sz w:val="24"/>
          <w:highlight w:val="none"/>
        </w:rPr>
      </w:pPr>
      <w:r>
        <w:rPr>
          <w:sz w:val="24"/>
          <w:highlight w:val="none"/>
        </w:rPr>
        <w:t>2</w:t>
      </w:r>
      <w:r>
        <w:rPr>
          <w:rFonts w:hint="eastAsia"/>
          <w:sz w:val="24"/>
          <w:highlight w:val="none"/>
        </w:rPr>
        <w:t>、</w:t>
      </w:r>
      <w:r>
        <w:rPr>
          <w:sz w:val="24"/>
          <w:highlight w:val="none"/>
        </w:rPr>
        <w:t>分步实施 、实用先行</w:t>
      </w:r>
    </w:p>
    <w:p>
      <w:pPr>
        <w:ind w:firstLine="480" w:firstLineChars="200"/>
        <w:rPr>
          <w:sz w:val="24"/>
          <w:highlight w:val="none"/>
        </w:rPr>
      </w:pPr>
      <w:r>
        <w:rPr>
          <w:sz w:val="24"/>
          <w:highlight w:val="none"/>
        </w:rPr>
        <w:t>结合学校实际，从实用角度出发，先行搭建能切实解决学校相关管理应用等问题的信息化系统。</w:t>
      </w:r>
    </w:p>
    <w:p>
      <w:pPr>
        <w:ind w:firstLine="480" w:firstLineChars="200"/>
        <w:rPr>
          <w:sz w:val="24"/>
          <w:highlight w:val="none"/>
        </w:rPr>
      </w:pPr>
      <w:r>
        <w:rPr>
          <w:sz w:val="24"/>
          <w:highlight w:val="none"/>
        </w:rPr>
        <w:t>3</w:t>
      </w:r>
      <w:r>
        <w:rPr>
          <w:rFonts w:hint="eastAsia"/>
          <w:sz w:val="24"/>
          <w:highlight w:val="none"/>
        </w:rPr>
        <w:t>、</w:t>
      </w:r>
      <w:r>
        <w:rPr>
          <w:sz w:val="24"/>
          <w:highlight w:val="none"/>
        </w:rPr>
        <w:t xml:space="preserve">灵活扩展、协调发展  </w:t>
      </w:r>
    </w:p>
    <w:p>
      <w:pPr>
        <w:ind w:firstLine="480" w:firstLineChars="200"/>
        <w:rPr>
          <w:sz w:val="24"/>
          <w:highlight w:val="none"/>
        </w:rPr>
      </w:pPr>
      <w:r>
        <w:rPr>
          <w:sz w:val="24"/>
          <w:highlight w:val="none"/>
        </w:rPr>
        <w:t>信息化建设是一个长期且持续的过程，系统建设规划时应充分考虑信息化建设与师生信息素养的有机结合和协调发展，以及充分考虑后期信息技术的发展和学校信息化建设应用的扩展，应预留扩展接口，为后期建设奠定良好的基础。</w:t>
      </w:r>
    </w:p>
    <w:p>
      <w:pPr>
        <w:tabs>
          <w:tab w:val="left" w:pos="851"/>
          <w:tab w:val="left" w:pos="1135"/>
          <w:tab w:val="clear" w:pos="426"/>
        </w:tabs>
        <w:spacing w:before="120" w:after="120"/>
        <w:rPr>
          <w:sz w:val="24"/>
          <w:highlight w:val="none"/>
        </w:rPr>
      </w:pPr>
      <w:bookmarkStart w:id="55" w:name="_Toc514195879"/>
      <w:r>
        <w:rPr>
          <w:rFonts w:hint="eastAsia"/>
          <w:sz w:val="24"/>
          <w:highlight w:val="none"/>
        </w:rPr>
        <w:t>5</w:t>
      </w:r>
      <w:r>
        <w:rPr>
          <w:sz w:val="24"/>
          <w:highlight w:val="none"/>
        </w:rPr>
        <w:t xml:space="preserve">.2 </w:t>
      </w:r>
      <w:r>
        <w:rPr>
          <w:rFonts w:hint="eastAsia"/>
          <w:sz w:val="24"/>
          <w:highlight w:val="none"/>
        </w:rPr>
        <w:t>本期项目总体</w:t>
      </w:r>
      <w:bookmarkEnd w:id="55"/>
      <w:r>
        <w:rPr>
          <w:rFonts w:hint="eastAsia"/>
          <w:sz w:val="24"/>
          <w:highlight w:val="none"/>
        </w:rPr>
        <w:t>建设目标</w:t>
      </w:r>
    </w:p>
    <w:p>
      <w:pPr>
        <w:tabs>
          <w:tab w:val="left" w:pos="1135"/>
          <w:tab w:val="clear" w:pos="426"/>
        </w:tabs>
        <w:spacing w:before="120" w:after="120"/>
        <w:rPr>
          <w:sz w:val="24"/>
          <w:highlight w:val="none"/>
        </w:rPr>
      </w:pPr>
      <w:r>
        <w:rPr>
          <w:rFonts w:hint="eastAsia"/>
          <w:sz w:val="24"/>
          <w:highlight w:val="none"/>
        </w:rPr>
        <w:t>展馆主题：传承办学理念，逐浪教育新潮</w:t>
      </w:r>
    </w:p>
    <w:p>
      <w:pPr>
        <w:ind w:firstLine="480" w:firstLineChars="200"/>
        <w:rPr>
          <w:spacing w:val="-6"/>
          <w:sz w:val="24"/>
          <w:highlight w:val="none"/>
        </w:rPr>
      </w:pPr>
      <w:r>
        <w:rPr>
          <w:rFonts w:hint="eastAsia"/>
          <w:sz w:val="24"/>
          <w:highlight w:val="none"/>
        </w:rPr>
        <w:t>展馆主要</w:t>
      </w:r>
      <w:r>
        <w:rPr>
          <w:rFonts w:hint="eastAsia"/>
          <w:spacing w:val="-6"/>
          <w:sz w:val="24"/>
          <w:highlight w:val="none"/>
        </w:rPr>
        <w:t>主要分三大板块：</w:t>
      </w:r>
    </w:p>
    <w:p>
      <w:pPr>
        <w:rPr>
          <w:spacing w:val="-6"/>
          <w:sz w:val="24"/>
          <w:highlight w:val="none"/>
        </w:rPr>
      </w:pPr>
      <w:r>
        <w:rPr>
          <w:rFonts w:hint="eastAsia"/>
          <w:spacing w:val="-6"/>
          <w:sz w:val="24"/>
          <w:highlight w:val="none"/>
        </w:rPr>
        <w:t>（1）历史篇：从1801年的凤冈书院起，历经112年的艰辛与苦难。从萌芽、发展、壮大，荆棘一路，辉煌百年。</w:t>
      </w:r>
    </w:p>
    <w:p>
      <w:pPr>
        <w:rPr>
          <w:spacing w:val="-6"/>
          <w:sz w:val="24"/>
          <w:highlight w:val="none"/>
        </w:rPr>
      </w:pPr>
      <w:r>
        <w:rPr>
          <w:rFonts w:hint="eastAsia"/>
          <w:spacing w:val="-6"/>
          <w:sz w:val="24"/>
          <w:highlight w:val="none"/>
        </w:rPr>
        <w:t>（2）人物篇：百年南中的成长史，是一部壮丽的诗篇，是几代南中人，无数南中校友不断耕耘与奉献的奋斗史。</w:t>
      </w:r>
    </w:p>
    <w:p>
      <w:pPr>
        <w:rPr>
          <w:spacing w:val="-6"/>
          <w:sz w:val="24"/>
          <w:highlight w:val="none"/>
        </w:rPr>
      </w:pPr>
      <w:r>
        <w:rPr>
          <w:rFonts w:hint="eastAsia"/>
          <w:spacing w:val="-6"/>
          <w:sz w:val="24"/>
          <w:highlight w:val="none"/>
        </w:rPr>
        <w:t>（3）成果篇：不忘初心，砥砺前行。在不断的发展壮大中，集成传统，秉承创新，成绩斐然，硕果累累。</w:t>
      </w:r>
    </w:p>
    <w:p>
      <w:pPr>
        <w:tabs>
          <w:tab w:val="left" w:pos="1134"/>
          <w:tab w:val="clear" w:pos="426"/>
        </w:tabs>
        <w:spacing w:before="120"/>
        <w:ind w:left="426"/>
        <w:jc w:val="center"/>
        <w:outlineLvl w:val="2"/>
        <w:rPr>
          <w:b/>
          <w:sz w:val="24"/>
          <w:highlight w:val="none"/>
        </w:rPr>
      </w:pPr>
      <w:bookmarkStart w:id="56" w:name="_Toc245970974"/>
      <w:bookmarkStart w:id="57" w:name="_Toc245986384"/>
      <w:r>
        <w:rPr>
          <w:rFonts w:hint="eastAsia"/>
          <w:b/>
          <w:sz w:val="24"/>
          <w:highlight w:val="none"/>
        </w:rPr>
        <w:t xml:space="preserve">六、 </w:t>
      </w:r>
      <w:bookmarkEnd w:id="56"/>
      <w:bookmarkEnd w:id="57"/>
      <w:r>
        <w:rPr>
          <w:rFonts w:hint="eastAsia"/>
          <w:b/>
          <w:sz w:val="24"/>
          <w:highlight w:val="none"/>
        </w:rPr>
        <w:t>建设内容</w:t>
      </w:r>
    </w:p>
    <w:p>
      <w:pPr>
        <w:tabs>
          <w:tab w:val="left" w:pos="1134"/>
          <w:tab w:val="clear" w:pos="426"/>
        </w:tabs>
        <w:spacing w:before="120"/>
        <w:rPr>
          <w:b w:val="0"/>
          <w:sz w:val="24"/>
          <w:highlight w:val="none"/>
        </w:rPr>
      </w:pPr>
      <w:bookmarkStart w:id="58" w:name="_Toc245986385"/>
      <w:bookmarkStart w:id="59" w:name="_Toc245970975"/>
      <w:r>
        <w:rPr>
          <w:b w:val="0"/>
          <w:sz w:val="24"/>
          <w:highlight w:val="none"/>
        </w:rPr>
        <w:t>6</w:t>
      </w:r>
      <w:r>
        <w:rPr>
          <w:rFonts w:hint="eastAsia"/>
          <w:b w:val="0"/>
          <w:sz w:val="24"/>
          <w:highlight w:val="none"/>
        </w:rPr>
        <w:t>.1信息资源</w:t>
      </w:r>
      <w:bookmarkEnd w:id="58"/>
      <w:bookmarkEnd w:id="59"/>
      <w:r>
        <w:rPr>
          <w:rFonts w:hint="eastAsia"/>
          <w:b w:val="0"/>
          <w:sz w:val="24"/>
          <w:highlight w:val="none"/>
        </w:rPr>
        <w:t>建设</w:t>
      </w:r>
    </w:p>
    <w:p>
      <w:pPr>
        <w:tabs>
          <w:tab w:val="left" w:pos="851"/>
          <w:tab w:val="clear" w:pos="426"/>
        </w:tabs>
        <w:spacing w:before="120" w:after="120"/>
        <w:rPr>
          <w:b w:val="0"/>
          <w:sz w:val="24"/>
          <w:highlight w:val="none"/>
        </w:rPr>
      </w:pPr>
      <w:bookmarkStart w:id="60" w:name="_Toc245431544"/>
      <w:bookmarkStart w:id="61" w:name="_Toc245986394"/>
      <w:bookmarkStart w:id="62" w:name="_Toc514195882"/>
      <w:r>
        <w:rPr>
          <w:b w:val="0"/>
          <w:sz w:val="24"/>
          <w:highlight w:val="none"/>
        </w:rPr>
        <w:t>6</w:t>
      </w:r>
      <w:r>
        <w:rPr>
          <w:rFonts w:hint="eastAsia"/>
          <w:b w:val="0"/>
          <w:sz w:val="24"/>
          <w:highlight w:val="none"/>
        </w:rPr>
        <w:t>.2 计算机网络系统工程</w:t>
      </w:r>
      <w:bookmarkEnd w:id="60"/>
      <w:bookmarkEnd w:id="61"/>
      <w:bookmarkEnd w:id="62"/>
      <w:r>
        <w:rPr>
          <w:rFonts w:hint="eastAsia"/>
          <w:b w:val="0"/>
          <w:sz w:val="24"/>
          <w:highlight w:val="none"/>
        </w:rPr>
        <w:t>建设</w:t>
      </w:r>
    </w:p>
    <w:p>
      <w:pPr>
        <w:ind w:firstLine="456" w:firstLineChars="200"/>
        <w:rPr>
          <w:spacing w:val="-6"/>
          <w:sz w:val="24"/>
          <w:highlight w:val="none"/>
        </w:rPr>
      </w:pPr>
      <w:r>
        <w:rPr>
          <w:rFonts w:hint="eastAsia"/>
          <w:spacing w:val="-6"/>
          <w:sz w:val="24"/>
          <w:highlight w:val="none"/>
        </w:rPr>
        <w:t>计算机网络系统工程建设内容主要包括基础网络系统、服务器系统、数据存储和备份系统、网络安全系统、网络管理系统及其相应软件系统的集成调试。其中，网络安全系统可纳入整个建设工程的信息安全体系中</w:t>
      </w:r>
    </w:p>
    <w:p>
      <w:pPr>
        <w:rPr>
          <w:spacing w:val="-6"/>
          <w:sz w:val="24"/>
          <w:highlight w:val="none"/>
        </w:rPr>
      </w:pPr>
      <w:r>
        <w:rPr>
          <w:rFonts w:hint="eastAsia"/>
          <w:spacing w:val="-6"/>
          <w:sz w:val="24"/>
          <w:highlight w:val="none"/>
        </w:rPr>
        <w:t>（1）凤冈书院</w:t>
      </w:r>
    </w:p>
    <w:p>
      <w:pPr>
        <w:rPr>
          <w:spacing w:val="-6"/>
          <w:sz w:val="24"/>
          <w:highlight w:val="none"/>
        </w:rPr>
      </w:pPr>
      <w:r>
        <w:rPr>
          <w:rFonts w:hint="eastAsia"/>
          <w:spacing w:val="-6"/>
          <w:sz w:val="24"/>
          <w:highlight w:val="none"/>
        </w:rPr>
        <w:t>设计思路：展示主题凤冈书院</w:t>
      </w:r>
    </w:p>
    <w:p>
      <w:pPr>
        <w:rPr>
          <w:spacing w:val="-6"/>
          <w:sz w:val="24"/>
          <w:highlight w:val="none"/>
        </w:rPr>
      </w:pPr>
      <w:r>
        <w:rPr>
          <w:rFonts w:hint="eastAsia"/>
          <w:spacing w:val="-6"/>
          <w:sz w:val="24"/>
          <w:highlight w:val="none"/>
        </w:rPr>
        <w:t>内容主题：追本溯源，展示凤冈中学从1801年至今的大事记</w:t>
      </w:r>
    </w:p>
    <w:p>
      <w:pPr>
        <w:rPr>
          <w:spacing w:val="-6"/>
          <w:sz w:val="24"/>
          <w:highlight w:val="none"/>
        </w:rPr>
      </w:pPr>
      <w:r>
        <w:rPr>
          <w:rFonts w:hint="eastAsia"/>
          <w:spacing w:val="-6"/>
          <w:sz w:val="24"/>
          <w:highlight w:val="none"/>
        </w:rPr>
        <w:t>实现效果：参观者可以自行触控查询相关事件资料，了解百年凤冈的变迁历史，见证南头中学的发展蜕变，让参观者感受到南中悠久的历史文化沉淀</w:t>
      </w:r>
    </w:p>
    <w:p>
      <w:pPr>
        <w:rPr>
          <w:spacing w:val="-6"/>
          <w:sz w:val="24"/>
          <w:highlight w:val="none"/>
        </w:rPr>
      </w:pPr>
      <w:r>
        <w:rPr>
          <w:rFonts w:hint="eastAsia"/>
          <w:spacing w:val="-6"/>
          <w:sz w:val="24"/>
          <w:highlight w:val="none"/>
        </w:rPr>
        <w:t>（2）英贤荟萃</w:t>
      </w:r>
    </w:p>
    <w:p>
      <w:pPr>
        <w:rPr>
          <w:spacing w:val="-6"/>
          <w:sz w:val="24"/>
          <w:highlight w:val="none"/>
        </w:rPr>
      </w:pPr>
      <w:r>
        <w:rPr>
          <w:rFonts w:hint="eastAsia"/>
          <w:spacing w:val="-6"/>
          <w:sz w:val="24"/>
          <w:highlight w:val="none"/>
        </w:rPr>
        <w:t>设计思路：展示主题革命摇篮</w:t>
      </w:r>
    </w:p>
    <w:p>
      <w:pPr>
        <w:rPr>
          <w:spacing w:val="-6"/>
          <w:sz w:val="24"/>
          <w:highlight w:val="none"/>
        </w:rPr>
      </w:pPr>
      <w:r>
        <w:rPr>
          <w:rFonts w:hint="eastAsia"/>
          <w:spacing w:val="-6"/>
          <w:sz w:val="24"/>
          <w:highlight w:val="none"/>
        </w:rPr>
        <w:t>内容主题：南头中学名师团队介绍</w:t>
      </w:r>
    </w:p>
    <w:p>
      <w:pPr>
        <w:rPr>
          <w:spacing w:val="-6"/>
          <w:sz w:val="24"/>
          <w:highlight w:val="none"/>
        </w:rPr>
      </w:pPr>
      <w:r>
        <w:rPr>
          <w:rFonts w:hint="eastAsia"/>
          <w:spacing w:val="-6"/>
          <w:sz w:val="24"/>
          <w:highlight w:val="none"/>
        </w:rPr>
        <w:t>实现效果：参观者可自行在液晶屏上查看南中名师团队，了解老师们的简历作品、荣誉资历等，展现南中师资团队实力</w:t>
      </w:r>
    </w:p>
    <w:p>
      <w:pPr>
        <w:rPr>
          <w:spacing w:val="-6"/>
          <w:sz w:val="24"/>
          <w:highlight w:val="none"/>
        </w:rPr>
      </w:pPr>
      <w:r>
        <w:rPr>
          <w:rFonts w:hint="eastAsia"/>
          <w:spacing w:val="-6"/>
          <w:sz w:val="24"/>
          <w:highlight w:val="none"/>
        </w:rPr>
        <w:t>（3）英贤荟萃（轨道）</w:t>
      </w:r>
    </w:p>
    <w:p>
      <w:pPr>
        <w:rPr>
          <w:spacing w:val="-6"/>
          <w:sz w:val="24"/>
          <w:highlight w:val="none"/>
        </w:rPr>
      </w:pPr>
      <w:r>
        <w:rPr>
          <w:rFonts w:hint="eastAsia"/>
          <w:spacing w:val="-6"/>
          <w:sz w:val="24"/>
          <w:highlight w:val="none"/>
        </w:rPr>
        <w:t>设计思路：展示主题革命摇篮</w:t>
      </w:r>
    </w:p>
    <w:p>
      <w:pPr>
        <w:rPr>
          <w:spacing w:val="-6"/>
          <w:sz w:val="24"/>
          <w:highlight w:val="none"/>
        </w:rPr>
      </w:pPr>
      <w:r>
        <w:rPr>
          <w:rFonts w:hint="eastAsia"/>
          <w:spacing w:val="-6"/>
          <w:sz w:val="24"/>
          <w:highlight w:val="none"/>
        </w:rPr>
        <w:t>内容大纲：南头中学革命时期英贤人物介绍</w:t>
      </w:r>
    </w:p>
    <w:p>
      <w:pPr>
        <w:rPr>
          <w:spacing w:val="-6"/>
          <w:sz w:val="24"/>
          <w:highlight w:val="none"/>
        </w:rPr>
      </w:pPr>
      <w:r>
        <w:rPr>
          <w:rFonts w:hint="eastAsia"/>
          <w:spacing w:val="-6"/>
          <w:sz w:val="24"/>
          <w:highlight w:val="none"/>
        </w:rPr>
        <w:t>实现效果：参观者可通过触控操作了解他们的经历、他们与南中的渊源，了解百年南中的辉煌历史、文化积淀</w:t>
      </w:r>
    </w:p>
    <w:p>
      <w:pPr>
        <w:rPr>
          <w:spacing w:val="-6"/>
          <w:sz w:val="24"/>
          <w:highlight w:val="none"/>
        </w:rPr>
      </w:pPr>
      <w:r>
        <w:rPr>
          <w:rFonts w:hint="eastAsia"/>
          <w:spacing w:val="-6"/>
          <w:sz w:val="24"/>
          <w:highlight w:val="none"/>
        </w:rPr>
        <w:t>（4）人才辈出</w:t>
      </w:r>
    </w:p>
    <w:p>
      <w:pPr>
        <w:rPr>
          <w:spacing w:val="-6"/>
          <w:sz w:val="24"/>
          <w:highlight w:val="none"/>
        </w:rPr>
      </w:pPr>
      <w:r>
        <w:rPr>
          <w:rFonts w:hint="eastAsia"/>
          <w:spacing w:val="-6"/>
          <w:sz w:val="24"/>
          <w:highlight w:val="none"/>
        </w:rPr>
        <w:t>设计思路：展示主题流金岁月</w:t>
      </w:r>
    </w:p>
    <w:p>
      <w:pPr>
        <w:rPr>
          <w:spacing w:val="-6"/>
          <w:sz w:val="24"/>
          <w:highlight w:val="none"/>
        </w:rPr>
      </w:pPr>
      <w:r>
        <w:rPr>
          <w:rFonts w:hint="eastAsia"/>
          <w:spacing w:val="-6"/>
          <w:sz w:val="24"/>
          <w:highlight w:val="none"/>
        </w:rPr>
        <w:t>内容主题：南头中学90年代前杰出校友介绍</w:t>
      </w:r>
    </w:p>
    <w:p>
      <w:pPr>
        <w:rPr>
          <w:spacing w:val="-6"/>
          <w:sz w:val="24"/>
          <w:highlight w:val="none"/>
        </w:rPr>
      </w:pPr>
      <w:r>
        <w:rPr>
          <w:rFonts w:hint="eastAsia"/>
          <w:spacing w:val="-6"/>
          <w:sz w:val="24"/>
          <w:highlight w:val="none"/>
        </w:rPr>
        <w:t>实现效果：参观者可通过触控操作了解他们与南中的渊源，毕业后他们在社会各行各业的成就，展现南中为国家培养的一代代英才</w:t>
      </w:r>
    </w:p>
    <w:p>
      <w:pPr>
        <w:rPr>
          <w:spacing w:val="-6"/>
          <w:sz w:val="24"/>
          <w:highlight w:val="none"/>
        </w:rPr>
      </w:pPr>
      <w:r>
        <w:rPr>
          <w:rFonts w:hint="eastAsia"/>
          <w:spacing w:val="-6"/>
          <w:sz w:val="24"/>
          <w:highlight w:val="none"/>
        </w:rPr>
        <w:t>（5）领军人物</w:t>
      </w:r>
    </w:p>
    <w:p>
      <w:pPr>
        <w:rPr>
          <w:spacing w:val="-6"/>
          <w:sz w:val="24"/>
          <w:highlight w:val="none"/>
        </w:rPr>
      </w:pPr>
      <w:r>
        <w:rPr>
          <w:rFonts w:hint="eastAsia"/>
          <w:spacing w:val="-6"/>
          <w:sz w:val="24"/>
          <w:highlight w:val="none"/>
        </w:rPr>
        <w:t>设计思路：展示主题领军人物</w:t>
      </w:r>
    </w:p>
    <w:p>
      <w:pPr>
        <w:rPr>
          <w:spacing w:val="-6"/>
          <w:sz w:val="24"/>
          <w:highlight w:val="none"/>
        </w:rPr>
      </w:pPr>
      <w:r>
        <w:rPr>
          <w:rFonts w:hint="eastAsia"/>
          <w:spacing w:val="-6"/>
          <w:sz w:val="24"/>
          <w:highlight w:val="none"/>
        </w:rPr>
        <w:t>根据展示主题领军人物，梳理资料，结合图文信息资料，编写策划脚本文件</w:t>
      </w:r>
    </w:p>
    <w:p>
      <w:pPr>
        <w:rPr>
          <w:spacing w:val="-6"/>
          <w:sz w:val="24"/>
          <w:highlight w:val="none"/>
        </w:rPr>
      </w:pPr>
      <w:r>
        <w:rPr>
          <w:rFonts w:hint="eastAsia"/>
          <w:spacing w:val="-6"/>
          <w:sz w:val="24"/>
          <w:highlight w:val="none"/>
        </w:rPr>
        <w:t>名师垂范内容大纲：</w:t>
      </w:r>
    </w:p>
    <w:p>
      <w:pPr>
        <w:rPr>
          <w:spacing w:val="-6"/>
          <w:sz w:val="24"/>
          <w:highlight w:val="none"/>
        </w:rPr>
      </w:pPr>
      <w:r>
        <w:rPr>
          <w:rFonts w:hint="eastAsia"/>
          <w:spacing w:val="-6"/>
          <w:sz w:val="24"/>
          <w:highlight w:val="none"/>
        </w:rPr>
        <w:t>内容主题：南头中学名师团队介绍</w:t>
      </w:r>
    </w:p>
    <w:p>
      <w:pPr>
        <w:rPr>
          <w:spacing w:val="-6"/>
          <w:sz w:val="24"/>
          <w:highlight w:val="none"/>
        </w:rPr>
      </w:pPr>
      <w:r>
        <w:rPr>
          <w:rFonts w:hint="eastAsia"/>
          <w:spacing w:val="-6"/>
          <w:sz w:val="24"/>
          <w:highlight w:val="none"/>
        </w:rPr>
        <w:t>实现效果：参观者可自行在液晶屏上查看南中名师团队，了解老师们的简历作品、荣誉资历等，展现南中师资团队实力</w:t>
      </w:r>
    </w:p>
    <w:p>
      <w:pPr>
        <w:rPr>
          <w:spacing w:val="-6"/>
          <w:sz w:val="24"/>
          <w:highlight w:val="none"/>
        </w:rPr>
      </w:pPr>
      <w:r>
        <w:rPr>
          <w:rFonts w:hint="eastAsia"/>
          <w:spacing w:val="-6"/>
          <w:sz w:val="24"/>
          <w:highlight w:val="none"/>
        </w:rPr>
        <w:t>（6）校园新貌</w:t>
      </w:r>
    </w:p>
    <w:p>
      <w:pPr>
        <w:rPr>
          <w:spacing w:val="-6"/>
          <w:sz w:val="24"/>
          <w:highlight w:val="none"/>
        </w:rPr>
      </w:pPr>
      <w:r>
        <w:rPr>
          <w:rFonts w:hint="eastAsia"/>
          <w:spacing w:val="-6"/>
          <w:sz w:val="24"/>
          <w:highlight w:val="none"/>
        </w:rPr>
        <w:t>设计思路：展示主题校园新貌</w:t>
      </w:r>
    </w:p>
    <w:p>
      <w:pPr>
        <w:rPr>
          <w:spacing w:val="-6"/>
          <w:sz w:val="24"/>
          <w:highlight w:val="none"/>
        </w:rPr>
      </w:pPr>
      <w:r>
        <w:rPr>
          <w:rFonts w:hint="eastAsia"/>
          <w:spacing w:val="-6"/>
          <w:sz w:val="24"/>
          <w:highlight w:val="none"/>
        </w:rPr>
        <w:t>内容主题：南头中学校园新貌影片</w:t>
      </w:r>
    </w:p>
    <w:p>
      <w:pPr>
        <w:rPr>
          <w:spacing w:val="-6"/>
          <w:sz w:val="24"/>
          <w:highlight w:val="none"/>
        </w:rPr>
      </w:pPr>
      <w:r>
        <w:rPr>
          <w:rFonts w:hint="eastAsia"/>
          <w:spacing w:val="-6"/>
          <w:sz w:val="24"/>
          <w:highlight w:val="none"/>
        </w:rPr>
        <w:t>实现效果：一方面展现南中的美丽校园景色，优良的学习生活环境；另一方面也让参观者看到南中师生的风采，彰显学校德智体美全面发展新风向，感受南中新貌</w:t>
      </w:r>
    </w:p>
    <w:p>
      <w:pPr>
        <w:rPr>
          <w:spacing w:val="-6"/>
          <w:sz w:val="24"/>
          <w:highlight w:val="none"/>
        </w:rPr>
      </w:pPr>
      <w:r>
        <w:rPr>
          <w:rFonts w:hint="eastAsia"/>
          <w:spacing w:val="-6"/>
          <w:sz w:val="24"/>
          <w:highlight w:val="none"/>
        </w:rPr>
        <w:t>（7）成绩斐然</w:t>
      </w:r>
    </w:p>
    <w:p>
      <w:pPr>
        <w:rPr>
          <w:spacing w:val="-6"/>
          <w:sz w:val="24"/>
          <w:highlight w:val="none"/>
        </w:rPr>
      </w:pPr>
      <w:r>
        <w:rPr>
          <w:rFonts w:hint="eastAsia"/>
          <w:spacing w:val="-6"/>
          <w:sz w:val="24"/>
          <w:highlight w:val="none"/>
        </w:rPr>
        <w:t>设计思路：</w:t>
      </w:r>
      <w:r>
        <w:rPr>
          <w:spacing w:val="-6"/>
          <w:sz w:val="24"/>
          <w:highlight w:val="none"/>
        </w:rPr>
        <w:t>展示主题校园新貌</w:t>
      </w:r>
    </w:p>
    <w:p>
      <w:pPr>
        <w:rPr>
          <w:spacing w:val="-6"/>
          <w:sz w:val="24"/>
          <w:highlight w:val="none"/>
        </w:rPr>
      </w:pPr>
      <w:r>
        <w:rPr>
          <w:rFonts w:hint="eastAsia"/>
          <w:spacing w:val="-6"/>
          <w:sz w:val="24"/>
          <w:highlight w:val="none"/>
        </w:rPr>
        <w:t>内容主题：南头中学教学成果展现</w:t>
      </w:r>
    </w:p>
    <w:p>
      <w:pPr>
        <w:rPr>
          <w:spacing w:val="-6"/>
          <w:sz w:val="24"/>
          <w:highlight w:val="none"/>
        </w:rPr>
      </w:pPr>
      <w:r>
        <w:rPr>
          <w:rFonts w:hint="eastAsia"/>
          <w:spacing w:val="-6"/>
          <w:sz w:val="24"/>
          <w:highlight w:val="none"/>
        </w:rPr>
        <w:t>实现效果：南头中学近几年升学率，以及老师学生所获得的荣誉成就，展现南中非凡实力，致力于为国家为社会培养一代代英才</w:t>
      </w:r>
    </w:p>
    <w:p>
      <w:pPr>
        <w:rPr>
          <w:spacing w:val="-6"/>
          <w:sz w:val="24"/>
          <w:highlight w:val="none"/>
        </w:rPr>
      </w:pPr>
      <w:r>
        <w:rPr>
          <w:rFonts w:hint="eastAsia"/>
          <w:spacing w:val="-6"/>
          <w:sz w:val="24"/>
          <w:highlight w:val="none"/>
        </w:rPr>
        <w:t>（8）滑轨屏互动系统</w:t>
      </w:r>
    </w:p>
    <w:p>
      <w:pPr>
        <w:ind w:firstLine="456" w:firstLineChars="200"/>
        <w:rPr>
          <w:spacing w:val="-6"/>
          <w:sz w:val="24"/>
          <w:highlight w:val="none"/>
        </w:rPr>
      </w:pPr>
      <w:r>
        <w:rPr>
          <w:rFonts w:hint="eastAsia"/>
          <w:spacing w:val="-6"/>
          <w:sz w:val="24"/>
          <w:highlight w:val="none"/>
        </w:rPr>
        <w:t>定制开发滑轨装置：根据设计效果图及现场装饰环境条件，设计机械结构原理图、零部件高精度加工图；生产、加工零部件及转道；含滑轨移动装置及隐线移动装置；</w:t>
      </w:r>
    </w:p>
    <w:p>
      <w:pPr>
        <w:ind w:firstLine="456" w:firstLineChars="200"/>
        <w:rPr>
          <w:spacing w:val="-6"/>
          <w:sz w:val="24"/>
          <w:highlight w:val="none"/>
        </w:rPr>
      </w:pPr>
      <w:r>
        <w:rPr>
          <w:rFonts w:hint="eastAsia"/>
          <w:spacing w:val="-6"/>
          <w:sz w:val="24"/>
          <w:highlight w:val="none"/>
        </w:rPr>
        <w:t>定制上位机展示系统，获取滑轨移动的位置，提供对应的互动效果</w:t>
      </w:r>
    </w:p>
    <w:p>
      <w:pPr>
        <w:rPr>
          <w:spacing w:val="-6"/>
          <w:sz w:val="24"/>
          <w:highlight w:val="none"/>
        </w:rPr>
      </w:pPr>
      <w:r>
        <w:rPr>
          <w:rFonts w:hint="eastAsia"/>
          <w:spacing w:val="-6"/>
          <w:sz w:val="24"/>
          <w:highlight w:val="none"/>
        </w:rPr>
        <w:t>（9） IPAD集中控制系统</w:t>
      </w:r>
    </w:p>
    <w:p>
      <w:pPr>
        <w:ind w:firstLine="456" w:firstLineChars="200"/>
        <w:jc w:val="left"/>
        <w:rPr>
          <w:spacing w:val="-6"/>
          <w:sz w:val="24"/>
          <w:highlight w:val="none"/>
        </w:rPr>
      </w:pPr>
      <w:r>
        <w:rPr>
          <w:rFonts w:hint="eastAsia"/>
          <w:spacing w:val="-6"/>
          <w:sz w:val="24"/>
          <w:highlight w:val="none"/>
        </w:rPr>
        <w:t xml:space="preserve">内容主题：根据展示厅控制展项及整体控制需求，设计中控UI界面，软件编程，协议定义，指令分发控制；支持二次接口开放 </w:t>
      </w:r>
    </w:p>
    <w:p>
      <w:pPr>
        <w:rPr>
          <w:spacing w:val="-6"/>
          <w:sz w:val="24"/>
          <w:highlight w:val="none"/>
        </w:rPr>
      </w:pPr>
      <w:r>
        <w:rPr>
          <w:rFonts w:hint="eastAsia"/>
          <w:spacing w:val="-6"/>
          <w:sz w:val="24"/>
          <w:highlight w:val="none"/>
        </w:rPr>
        <w:t>（10）720度全景虚拟展厅</w:t>
      </w:r>
    </w:p>
    <w:p>
      <w:pPr>
        <w:rPr>
          <w:spacing w:val="-6"/>
          <w:sz w:val="24"/>
          <w:highlight w:val="none"/>
        </w:rPr>
      </w:pPr>
      <w:r>
        <w:rPr>
          <w:rFonts w:hint="eastAsia"/>
          <w:spacing w:val="-6"/>
          <w:sz w:val="24"/>
          <w:highlight w:val="none"/>
        </w:rPr>
        <w:t>设计理念：受众可通过移动智能终端，可以打破时间和空间的限制，随时随地720°参观南头中学校史馆，了解南中历史文化与创新发展，打造南中线上对外窗口</w:t>
      </w:r>
    </w:p>
    <w:p>
      <w:pPr>
        <w:rPr>
          <w:spacing w:val="-6"/>
          <w:sz w:val="24"/>
          <w:highlight w:val="none"/>
        </w:rPr>
      </w:pPr>
      <w:r>
        <w:rPr>
          <w:rFonts w:hint="eastAsia"/>
          <w:spacing w:val="-6"/>
          <w:sz w:val="24"/>
          <w:highlight w:val="none"/>
        </w:rPr>
        <w:t>使用设备：移动终端/PAD（甲方自供）</w:t>
      </w:r>
    </w:p>
    <w:p>
      <w:pPr>
        <w:adjustRightInd/>
        <w:snapToGrid/>
        <w:spacing w:before="280" w:after="290" w:line="377" w:lineRule="auto"/>
        <w:jc w:val="center"/>
        <w:outlineLvl w:val="2"/>
        <w:rPr>
          <w:rFonts w:cs="Times New Roman"/>
          <w:b/>
          <w:sz w:val="24"/>
          <w:szCs w:val="20"/>
          <w:highlight w:val="none"/>
        </w:rPr>
      </w:pPr>
      <w:r>
        <w:rPr>
          <w:rFonts w:hint="eastAsia"/>
          <w:b/>
          <w:color w:val="000000"/>
          <w:sz w:val="28"/>
          <w:szCs w:val="28"/>
          <w:highlight w:val="none"/>
        </w:rPr>
        <w:t>南头中学校史馆设备及软件开发清单</w:t>
      </w:r>
    </w:p>
    <w:tbl>
      <w:tblPr>
        <w:tblStyle w:val="44"/>
        <w:tblW w:w="8914" w:type="dxa"/>
        <w:tblInd w:w="0" w:type="dxa"/>
        <w:tblLayout w:type="fixed"/>
        <w:tblCellMar>
          <w:top w:w="0" w:type="dxa"/>
          <w:left w:w="0" w:type="dxa"/>
          <w:bottom w:w="0" w:type="dxa"/>
          <w:right w:w="0" w:type="dxa"/>
        </w:tblCellMar>
      </w:tblPr>
      <w:tblGrid>
        <w:gridCol w:w="564"/>
        <w:gridCol w:w="1065"/>
        <w:gridCol w:w="1107"/>
        <w:gridCol w:w="1758"/>
        <w:gridCol w:w="1200"/>
        <w:gridCol w:w="1275"/>
        <w:gridCol w:w="990"/>
        <w:gridCol w:w="955"/>
      </w:tblGrid>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b/>
                <w:color w:val="000000"/>
                <w:sz w:val="24"/>
                <w:highlight w:val="none"/>
              </w:rPr>
              <w:t>序号</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展项分类</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项目名称</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展项名称</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品牌</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型号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数量</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单位</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1</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策划文案</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策划文案脚本</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凤冈书院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人才辈出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领军人物</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2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百年校庆</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校园活动</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对外交流</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成绩斐然</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2</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UI设计</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素材制作</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凤冈书院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人才辈出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领军人物</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2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3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3</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多媒体软件、系统程序</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多媒体互动程序</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凤冈书院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人才辈出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领军人物</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2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3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1452"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感应控制系统开发及底层通讯协议</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滑轨系统</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智能中控系统</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智能中控系统</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中控操作端软件</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智能中控系统</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4</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影视内容</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影视制作</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60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秒</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成绩斐然</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120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秒</w:t>
            </w:r>
          </w:p>
        </w:tc>
      </w:tr>
      <w:tr>
        <w:tblPrEx>
          <w:tblLayout w:type="fixed"/>
          <w:tblCellMar>
            <w:top w:w="0" w:type="dxa"/>
            <w:left w:w="0" w:type="dxa"/>
            <w:bottom w:w="0" w:type="dxa"/>
            <w:right w:w="0" w:type="dxa"/>
          </w:tblCellMar>
        </w:tblPrEx>
        <w:trPr>
          <w:trHeight w:val="520" w:hRule="atLeast"/>
        </w:trPr>
        <w:tc>
          <w:tcPr>
            <w:tcW w:w="564"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5</w:t>
            </w:r>
          </w:p>
        </w:tc>
        <w:tc>
          <w:tcPr>
            <w:tcW w:w="106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虚拟展馆</w:t>
            </w:r>
          </w:p>
        </w:tc>
        <w:tc>
          <w:tcPr>
            <w:tcW w:w="110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720度全景虚拟展厅</w:t>
            </w:r>
          </w:p>
        </w:tc>
        <w:tc>
          <w:tcPr>
            <w:tcW w:w="175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720度全景虚拟展厅</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rFonts w:ascii="微软雅黑 Light" w:hAnsi="微软雅黑 Light" w:eastAsia="微软雅黑 Light" w:cs="微软雅黑 Light"/>
                <w:color w:val="000000"/>
                <w:sz w:val="22"/>
                <w:szCs w:val="22"/>
                <w:highlight w:val="none"/>
              </w:rPr>
              <w:t>6</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测距感应装置</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测距感应装置</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rFonts w:ascii="微软雅黑 Light" w:hAnsi="微软雅黑 Light" w:eastAsia="微软雅黑 Light" w:cs="微软雅黑 Light"/>
                <w:color w:val="000000"/>
                <w:sz w:val="22"/>
                <w:szCs w:val="22"/>
                <w:highlight w:val="none"/>
              </w:rPr>
              <w:t>7</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滑轨台子制作</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滑轨台子制作</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台</w:t>
            </w:r>
          </w:p>
        </w:tc>
      </w:tr>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rFonts w:ascii="微软雅黑 Light" w:hAnsi="微软雅黑 Light" w:eastAsia="微软雅黑 Light" w:cs="微软雅黑 Light"/>
                <w:color w:val="000000"/>
                <w:sz w:val="22"/>
                <w:szCs w:val="22"/>
                <w:highlight w:val="none"/>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线材、辅料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线材、辅料</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秋叶原</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项</w:t>
            </w:r>
          </w:p>
        </w:tc>
      </w:tr>
    </w:tbl>
    <w:p>
      <w:pPr>
        <w:rPr>
          <w:b/>
          <w:sz w:val="18"/>
          <w:szCs w:val="18"/>
          <w:highlight w:val="none"/>
        </w:rPr>
      </w:pPr>
    </w:p>
    <w:p>
      <w:pPr>
        <w:adjustRightInd/>
        <w:snapToGrid/>
        <w:spacing w:before="280" w:after="290" w:line="377" w:lineRule="auto"/>
        <w:jc w:val="center"/>
        <w:outlineLvl w:val="2"/>
        <w:rPr>
          <w:b/>
          <w:color w:val="000000"/>
          <w:sz w:val="28"/>
          <w:szCs w:val="28"/>
          <w:highlight w:val="none"/>
        </w:rPr>
      </w:pPr>
      <w:r>
        <w:rPr>
          <w:rFonts w:hint="eastAsia"/>
          <w:b/>
          <w:color w:val="FF0000"/>
          <w:sz w:val="28"/>
          <w:szCs w:val="28"/>
          <w:highlight w:val="none"/>
        </w:rPr>
        <w:t>★</w:t>
      </w:r>
      <w:r>
        <w:rPr>
          <w:rFonts w:hint="eastAsia"/>
          <w:b/>
          <w:color w:val="000000"/>
          <w:sz w:val="28"/>
          <w:szCs w:val="28"/>
          <w:highlight w:val="none"/>
        </w:rPr>
        <w:t>软件开发实质性要求表</w:t>
      </w:r>
    </w:p>
    <w:tbl>
      <w:tblPr>
        <w:tblStyle w:val="44"/>
        <w:tblW w:w="9390" w:type="dxa"/>
        <w:tblInd w:w="0" w:type="dxa"/>
        <w:tblLayout w:type="fixed"/>
        <w:tblCellMar>
          <w:top w:w="0" w:type="dxa"/>
          <w:left w:w="0" w:type="dxa"/>
          <w:bottom w:w="0" w:type="dxa"/>
          <w:right w:w="0" w:type="dxa"/>
        </w:tblCellMar>
      </w:tblPr>
      <w:tblGrid>
        <w:gridCol w:w="464"/>
        <w:gridCol w:w="712"/>
        <w:gridCol w:w="708"/>
        <w:gridCol w:w="7506"/>
      </w:tblGrid>
      <w:tr>
        <w:tblPrEx>
          <w:tblLayout w:type="fixed"/>
          <w:tblCellMar>
            <w:top w:w="0" w:type="dxa"/>
            <w:left w:w="0" w:type="dxa"/>
            <w:bottom w:w="0" w:type="dxa"/>
            <w:right w:w="0" w:type="dxa"/>
          </w:tblCellMar>
        </w:tblPrEx>
        <w:trPr>
          <w:trHeight w:val="52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b/>
                <w:color w:val="000000"/>
                <w:sz w:val="16"/>
                <w:szCs w:val="16"/>
                <w:highlight w:val="none"/>
              </w:rPr>
            </w:pPr>
            <w:r>
              <w:rPr>
                <w:b/>
                <w:color w:val="000000"/>
                <w:sz w:val="16"/>
                <w:szCs w:val="16"/>
                <w:highlight w:val="none"/>
              </w:rPr>
              <w:t>序号</w:t>
            </w:r>
          </w:p>
        </w:tc>
        <w:tc>
          <w:tcPr>
            <w:tcW w:w="7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展项分类</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项目名称</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描述说明</w:t>
            </w:r>
          </w:p>
        </w:tc>
      </w:tr>
      <w:tr>
        <w:tblPrEx>
          <w:tblLayout w:type="fixed"/>
          <w:tblCellMar>
            <w:top w:w="0" w:type="dxa"/>
            <w:left w:w="0" w:type="dxa"/>
            <w:bottom w:w="0" w:type="dxa"/>
            <w:right w:w="0" w:type="dxa"/>
          </w:tblCellMar>
        </w:tblPrEx>
        <w:trPr>
          <w:trHeight w:val="520" w:hRule="atLeast"/>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1</w:t>
            </w:r>
          </w:p>
        </w:tc>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策划文案</w:t>
            </w: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策划文案脚本</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内容主题：追本溯源，展示凤冈中学从1801年至今的大事记</w:t>
            </w:r>
            <w:r>
              <w:rPr>
                <w:rFonts w:hint="eastAsia"/>
                <w:color w:val="000000"/>
                <w:sz w:val="16"/>
                <w:szCs w:val="16"/>
                <w:highlight w:val="none"/>
              </w:rPr>
              <w:br w:type="textWrapping"/>
            </w:r>
            <w:r>
              <w:rPr>
                <w:rFonts w:hint="eastAsia"/>
                <w:color w:val="000000"/>
                <w:sz w:val="16"/>
                <w:szCs w:val="16"/>
                <w:highlight w:val="none"/>
              </w:rPr>
              <w:t>实现效果：参观者可以自行触控查询相关事件资料，了解百年凤冈的变迁历史，见证南头中学的发展蜕变，让参观者感受到南中悠久的历史文化沉淀；</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1801 凤冈书院</w:t>
            </w:r>
            <w:r>
              <w:rPr>
                <w:rFonts w:hint="eastAsia"/>
                <w:color w:val="000000"/>
                <w:sz w:val="16"/>
                <w:szCs w:val="16"/>
                <w:highlight w:val="none"/>
              </w:rPr>
              <w:br w:type="textWrapping"/>
            </w:r>
            <w:r>
              <w:rPr>
                <w:rFonts w:hint="eastAsia"/>
                <w:color w:val="000000"/>
                <w:sz w:val="16"/>
                <w:szCs w:val="16"/>
                <w:highlight w:val="none"/>
              </w:rPr>
              <w:t>1906 凤冈学校</w:t>
            </w:r>
            <w:r>
              <w:rPr>
                <w:rFonts w:hint="eastAsia"/>
                <w:color w:val="000000"/>
                <w:sz w:val="16"/>
                <w:szCs w:val="16"/>
                <w:highlight w:val="none"/>
              </w:rPr>
              <w:br w:type="textWrapping"/>
            </w:r>
            <w:r>
              <w:rPr>
                <w:rFonts w:hint="eastAsia"/>
                <w:color w:val="000000"/>
                <w:sz w:val="16"/>
                <w:szCs w:val="16"/>
                <w:highlight w:val="none"/>
              </w:rPr>
              <w:t>1914 宝安县立第一高等小学</w:t>
            </w:r>
            <w:r>
              <w:rPr>
                <w:rFonts w:hint="eastAsia"/>
                <w:color w:val="000000"/>
                <w:sz w:val="16"/>
                <w:szCs w:val="16"/>
                <w:highlight w:val="none"/>
              </w:rPr>
              <w:br w:type="textWrapping"/>
            </w:r>
            <w:r>
              <w:rPr>
                <w:rFonts w:hint="eastAsia"/>
                <w:color w:val="000000"/>
                <w:sz w:val="16"/>
                <w:szCs w:val="16"/>
                <w:highlight w:val="none"/>
              </w:rPr>
              <w:t>1926 保安县立初级中学</w:t>
            </w:r>
            <w:r>
              <w:rPr>
                <w:rFonts w:hint="eastAsia"/>
                <w:color w:val="000000"/>
                <w:sz w:val="16"/>
                <w:szCs w:val="16"/>
                <w:highlight w:val="none"/>
              </w:rPr>
              <w:br w:type="textWrapping"/>
            </w:r>
            <w:r>
              <w:rPr>
                <w:rFonts w:hint="eastAsia"/>
                <w:color w:val="000000"/>
                <w:sz w:val="16"/>
                <w:szCs w:val="16"/>
                <w:highlight w:val="none"/>
              </w:rPr>
              <w:t>1928 宝安县立第一初级中学</w:t>
            </w:r>
            <w:r>
              <w:rPr>
                <w:rFonts w:hint="eastAsia"/>
                <w:color w:val="000000"/>
                <w:sz w:val="16"/>
                <w:szCs w:val="16"/>
                <w:highlight w:val="none"/>
              </w:rPr>
              <w:br w:type="textWrapping"/>
            </w:r>
            <w:r>
              <w:rPr>
                <w:rFonts w:hint="eastAsia"/>
                <w:color w:val="000000"/>
                <w:sz w:val="16"/>
                <w:szCs w:val="16"/>
                <w:highlight w:val="none"/>
              </w:rPr>
              <w:t>1945 宝安县立初级中学</w:t>
            </w:r>
            <w:r>
              <w:rPr>
                <w:rFonts w:hint="eastAsia"/>
                <w:color w:val="000000"/>
                <w:sz w:val="16"/>
                <w:szCs w:val="16"/>
                <w:highlight w:val="none"/>
              </w:rPr>
              <w:br w:type="textWrapping"/>
            </w:r>
            <w:r>
              <w:rPr>
                <w:rFonts w:hint="eastAsia"/>
                <w:color w:val="000000"/>
                <w:sz w:val="16"/>
                <w:szCs w:val="16"/>
                <w:highlight w:val="none"/>
              </w:rPr>
              <w:t>1950 保安第一中学</w:t>
            </w:r>
            <w:r>
              <w:rPr>
                <w:rFonts w:hint="eastAsia"/>
                <w:color w:val="000000"/>
                <w:sz w:val="16"/>
                <w:szCs w:val="16"/>
                <w:highlight w:val="none"/>
              </w:rPr>
              <w:br w:type="textWrapping"/>
            </w:r>
            <w:r>
              <w:rPr>
                <w:rFonts w:hint="eastAsia"/>
                <w:color w:val="000000"/>
                <w:sz w:val="16"/>
                <w:szCs w:val="16"/>
                <w:highlight w:val="none"/>
              </w:rPr>
              <w:t>1958宝安县南头中学</w:t>
            </w:r>
            <w:r>
              <w:rPr>
                <w:rFonts w:hint="eastAsia"/>
                <w:color w:val="000000"/>
                <w:sz w:val="16"/>
                <w:szCs w:val="16"/>
                <w:highlight w:val="none"/>
              </w:rPr>
              <w:br w:type="textWrapping"/>
            </w:r>
            <w:r>
              <w:rPr>
                <w:rFonts w:hint="eastAsia"/>
                <w:color w:val="000000"/>
                <w:sz w:val="16"/>
                <w:szCs w:val="16"/>
                <w:highlight w:val="none"/>
              </w:rPr>
              <w:t>1979 深圳市南头中学</w:t>
            </w:r>
            <w:r>
              <w:rPr>
                <w:rFonts w:hint="eastAsia"/>
                <w:color w:val="000000"/>
                <w:sz w:val="16"/>
                <w:szCs w:val="16"/>
                <w:highlight w:val="none"/>
              </w:rPr>
              <w:br w:type="textWrapping"/>
            </w:r>
            <w:r>
              <w:rPr>
                <w:rFonts w:hint="eastAsia"/>
                <w:color w:val="000000"/>
                <w:sz w:val="16"/>
                <w:szCs w:val="16"/>
                <w:highlight w:val="none"/>
              </w:rPr>
              <w:t>1999年 深圳市一级学校</w:t>
            </w:r>
            <w:r>
              <w:rPr>
                <w:rFonts w:hint="eastAsia"/>
                <w:color w:val="000000"/>
                <w:sz w:val="16"/>
                <w:szCs w:val="16"/>
                <w:highlight w:val="none"/>
              </w:rPr>
              <w:br w:type="textWrapping"/>
            </w:r>
            <w:r>
              <w:rPr>
                <w:rFonts w:hint="eastAsia"/>
                <w:color w:val="000000"/>
                <w:sz w:val="16"/>
                <w:szCs w:val="16"/>
                <w:highlight w:val="none"/>
              </w:rPr>
              <w:t>2003年 南头中学创建国家示范高中.......</w:t>
            </w:r>
            <w:r>
              <w:rPr>
                <w:rFonts w:hint="eastAsia"/>
                <w:color w:val="000000"/>
                <w:sz w:val="16"/>
                <w:szCs w:val="16"/>
                <w:highlight w:val="none"/>
              </w:rPr>
              <w:br w:type="textWrapping"/>
            </w:r>
            <w:r>
              <w:rPr>
                <w:rFonts w:hint="eastAsia"/>
                <w:color w:val="000000"/>
                <w:sz w:val="16"/>
                <w:szCs w:val="16"/>
                <w:highlight w:val="none"/>
              </w:rPr>
              <w:t>1．凤冈中学1801年至今大事记时间轴；</w:t>
            </w:r>
            <w:r>
              <w:rPr>
                <w:rFonts w:hint="eastAsia"/>
                <w:color w:val="000000"/>
                <w:sz w:val="16"/>
                <w:szCs w:val="16"/>
                <w:highlight w:val="none"/>
              </w:rPr>
              <w:br w:type="textWrapping"/>
            </w:r>
            <w:r>
              <w:rPr>
                <w:rFonts w:hint="eastAsia"/>
                <w:color w:val="000000"/>
                <w:sz w:val="16"/>
                <w:szCs w:val="16"/>
                <w:highlight w:val="none"/>
              </w:rPr>
              <w:t>2．触控查询南中两百年来的发展变迁历史；</w:t>
            </w:r>
            <w:r>
              <w:rPr>
                <w:rFonts w:hint="eastAsia"/>
                <w:color w:val="000000"/>
                <w:sz w:val="16"/>
                <w:szCs w:val="16"/>
                <w:highlight w:val="none"/>
              </w:rPr>
              <w:br w:type="textWrapping"/>
            </w:r>
            <w:r>
              <w:rPr>
                <w:rFonts w:hint="eastAsia"/>
                <w:color w:val="000000"/>
                <w:sz w:val="16"/>
                <w:szCs w:val="16"/>
                <w:highlight w:val="none"/>
              </w:rPr>
              <w:t>3．相关历史事件介绍，展现南中悠久的文化沉淀；</w:t>
            </w:r>
            <w:r>
              <w:rPr>
                <w:rFonts w:hint="eastAsia"/>
                <w:color w:val="000000"/>
                <w:sz w:val="16"/>
                <w:szCs w:val="16"/>
                <w:highlight w:val="none"/>
              </w:rPr>
              <w:br w:type="textWrapping"/>
            </w:r>
            <w:r>
              <w:rPr>
                <w:rFonts w:hint="eastAsia"/>
                <w:color w:val="000000"/>
                <w:sz w:val="16"/>
                <w:szCs w:val="16"/>
                <w:highlight w:val="none"/>
              </w:rPr>
              <w:t>4．南中两百多年发展过程中教育理念的变革；</w:t>
            </w:r>
            <w:r>
              <w:rPr>
                <w:rFonts w:hint="eastAsia"/>
                <w:color w:val="000000"/>
                <w:sz w:val="16"/>
                <w:szCs w:val="16"/>
                <w:highlight w:val="none"/>
              </w:rPr>
              <w:br w:type="textWrapping"/>
            </w:r>
            <w:r>
              <w:rPr>
                <w:rFonts w:hint="eastAsia"/>
                <w:color w:val="000000"/>
                <w:sz w:val="16"/>
                <w:szCs w:val="16"/>
                <w:highlight w:val="none"/>
              </w:rPr>
              <w:t>5．两百多年文化积淀的传承与发展；</w:t>
            </w:r>
            <w:r>
              <w:rPr>
                <w:rFonts w:hint="eastAsia"/>
                <w:color w:val="000000"/>
                <w:sz w:val="16"/>
                <w:szCs w:val="16"/>
                <w:highlight w:val="none"/>
              </w:rPr>
              <w:br w:type="textWrapping"/>
            </w:r>
            <w:r>
              <w:rPr>
                <w:rFonts w:hint="eastAsia"/>
                <w:color w:val="000000"/>
                <w:sz w:val="16"/>
                <w:szCs w:val="16"/>
                <w:highlight w:val="none"/>
              </w:rPr>
              <w:t>6．相关老照片浏览，见证南头中学的发展蜕变；</w:t>
            </w:r>
            <w:r>
              <w:rPr>
                <w:rFonts w:hint="eastAsia"/>
                <w:color w:val="000000"/>
                <w:sz w:val="16"/>
                <w:szCs w:val="16"/>
                <w:highlight w:val="none"/>
              </w:rPr>
              <w:br w:type="textWrapping"/>
            </w:r>
            <w:r>
              <w:rPr>
                <w:rFonts w:hint="eastAsia"/>
                <w:color w:val="000000"/>
                <w:sz w:val="16"/>
                <w:szCs w:val="16"/>
                <w:highlight w:val="none"/>
              </w:rPr>
              <w:t>7．南中历史变迁的视频展现，直观地介绍南中的发展历程；</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内容主题：南头中学革命时期英贤人物介绍</w:t>
            </w:r>
            <w:r>
              <w:rPr>
                <w:rFonts w:hint="eastAsia"/>
                <w:color w:val="000000"/>
                <w:sz w:val="16"/>
                <w:szCs w:val="16"/>
                <w:highlight w:val="none"/>
              </w:rPr>
              <w:br w:type="textWrapping"/>
            </w:r>
            <w:r>
              <w:rPr>
                <w:rFonts w:hint="eastAsia"/>
                <w:color w:val="000000"/>
                <w:sz w:val="16"/>
                <w:szCs w:val="16"/>
                <w:highlight w:val="none"/>
              </w:rPr>
              <w:t>实现效果：参观者可通过触控操作了解他们的经历、他们与南中的渊源，了解百年南中的辉煌历史、文化积淀；</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罗汝澄、王启光、张平、张子善、王彪、叶青茂、陈仲轩、陈泽芹、杨志能、曾伯郝、戴江、龙邦彦、张彬、吴沛华......</w:t>
            </w:r>
            <w:r>
              <w:rPr>
                <w:rFonts w:hint="eastAsia"/>
                <w:color w:val="000000"/>
                <w:sz w:val="16"/>
                <w:szCs w:val="16"/>
                <w:highlight w:val="none"/>
              </w:rPr>
              <w:br w:type="textWrapping"/>
            </w:r>
            <w:r>
              <w:rPr>
                <w:rFonts w:hint="eastAsia"/>
                <w:color w:val="000000"/>
                <w:sz w:val="16"/>
                <w:szCs w:val="16"/>
                <w:highlight w:val="none"/>
              </w:rPr>
              <w:t>1．南中革命时期英贤人物汇总；</w:t>
            </w:r>
            <w:r>
              <w:rPr>
                <w:rFonts w:hint="eastAsia"/>
                <w:color w:val="000000"/>
                <w:sz w:val="16"/>
                <w:szCs w:val="16"/>
                <w:highlight w:val="none"/>
              </w:rPr>
              <w:br w:type="textWrapping"/>
            </w:r>
            <w:r>
              <w:rPr>
                <w:rFonts w:hint="eastAsia"/>
                <w:color w:val="000000"/>
                <w:sz w:val="16"/>
                <w:szCs w:val="16"/>
                <w:highlight w:val="none"/>
              </w:rPr>
              <w:t>2．英贤人物经历图文介绍；</w:t>
            </w:r>
            <w:r>
              <w:rPr>
                <w:rFonts w:hint="eastAsia"/>
                <w:color w:val="000000"/>
                <w:sz w:val="16"/>
                <w:szCs w:val="16"/>
                <w:highlight w:val="none"/>
              </w:rPr>
              <w:br w:type="textWrapping"/>
            </w:r>
            <w:r>
              <w:rPr>
                <w:rFonts w:hint="eastAsia"/>
                <w:color w:val="000000"/>
                <w:sz w:val="16"/>
                <w:szCs w:val="16"/>
                <w:highlight w:val="none"/>
              </w:rPr>
              <w:t>3．人物相关音频视频点击播放；</w:t>
            </w:r>
            <w:r>
              <w:rPr>
                <w:rFonts w:hint="eastAsia"/>
                <w:color w:val="000000"/>
                <w:sz w:val="16"/>
                <w:szCs w:val="16"/>
                <w:highlight w:val="none"/>
              </w:rPr>
              <w:br w:type="textWrapping"/>
            </w:r>
            <w:r>
              <w:rPr>
                <w:rFonts w:hint="eastAsia"/>
                <w:color w:val="000000"/>
                <w:sz w:val="16"/>
                <w:szCs w:val="16"/>
                <w:highlight w:val="none"/>
              </w:rPr>
              <w:t>4．人物光辉事迹查看；</w:t>
            </w:r>
            <w:r>
              <w:rPr>
                <w:rFonts w:hint="eastAsia"/>
                <w:color w:val="000000"/>
                <w:sz w:val="16"/>
                <w:szCs w:val="16"/>
                <w:highlight w:val="none"/>
              </w:rPr>
              <w:br w:type="textWrapping"/>
            </w:r>
            <w:r>
              <w:rPr>
                <w:rFonts w:hint="eastAsia"/>
                <w:color w:val="000000"/>
                <w:sz w:val="16"/>
                <w:szCs w:val="16"/>
                <w:highlight w:val="none"/>
              </w:rPr>
              <w:t>5．通过人物的相关经历，带出南中的悠久历史；</w:t>
            </w:r>
            <w:r>
              <w:rPr>
                <w:rFonts w:hint="eastAsia"/>
                <w:color w:val="000000"/>
                <w:sz w:val="16"/>
                <w:szCs w:val="16"/>
                <w:highlight w:val="none"/>
              </w:rPr>
              <w:br w:type="textWrapping"/>
            </w:r>
            <w:r>
              <w:rPr>
                <w:rFonts w:hint="eastAsia"/>
                <w:color w:val="000000"/>
                <w:sz w:val="16"/>
                <w:szCs w:val="16"/>
                <w:highlight w:val="none"/>
              </w:rPr>
              <w:t>6．人物与南中的渊源，对南中的影响；</w:t>
            </w:r>
            <w:r>
              <w:rPr>
                <w:rFonts w:hint="eastAsia"/>
                <w:color w:val="000000"/>
                <w:sz w:val="16"/>
                <w:szCs w:val="16"/>
                <w:highlight w:val="none"/>
              </w:rPr>
              <w:br w:type="textWrapping"/>
            </w:r>
            <w:r>
              <w:rPr>
                <w:rFonts w:hint="eastAsia"/>
                <w:color w:val="000000"/>
                <w:sz w:val="16"/>
                <w:szCs w:val="16"/>
                <w:highlight w:val="none"/>
              </w:rPr>
              <w:t>7．人物所获得成就功勋的介绍；</w:t>
            </w:r>
            <w:r>
              <w:rPr>
                <w:rFonts w:hint="eastAsia"/>
                <w:color w:val="000000"/>
                <w:sz w:val="16"/>
                <w:szCs w:val="16"/>
                <w:highlight w:val="none"/>
              </w:rPr>
              <w:br w:type="textWrapping"/>
            </w:r>
            <w:r>
              <w:rPr>
                <w:rFonts w:hint="eastAsia"/>
                <w:color w:val="000000"/>
                <w:sz w:val="16"/>
                <w:szCs w:val="16"/>
                <w:highlight w:val="none"/>
              </w:rPr>
              <w:t>8．人物相关图文、报道、音频视频资料查询；</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内容主题：对历史上推动南中萌芽、发展、壮大，成就南中百年辉煌的杰出校长专题介绍</w:t>
            </w:r>
            <w:r>
              <w:rPr>
                <w:rFonts w:hint="eastAsia"/>
                <w:color w:val="000000"/>
                <w:sz w:val="16"/>
                <w:szCs w:val="16"/>
                <w:highlight w:val="none"/>
              </w:rPr>
              <w:br w:type="textWrapping"/>
            </w:r>
            <w:r>
              <w:rPr>
                <w:rFonts w:hint="eastAsia"/>
                <w:color w:val="000000"/>
                <w:sz w:val="16"/>
                <w:szCs w:val="16"/>
                <w:highlight w:val="none"/>
              </w:rPr>
              <w:t>实现效果：参观者通过滑轨屏可以查看了解他们的卓越功勋，对南中发展的远大影响，同时也见证百年南中的发展壮大；</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梁金生、陈仲轩、番翀、刘引、叶延武、陈坚</w:t>
            </w:r>
            <w:r>
              <w:rPr>
                <w:rFonts w:hint="eastAsia"/>
                <w:color w:val="000000"/>
                <w:sz w:val="16"/>
                <w:szCs w:val="16"/>
                <w:highlight w:val="none"/>
              </w:rPr>
              <w:br w:type="textWrapping"/>
            </w:r>
            <w:r>
              <w:rPr>
                <w:rFonts w:hint="eastAsia"/>
                <w:color w:val="000000"/>
                <w:sz w:val="16"/>
                <w:szCs w:val="16"/>
                <w:highlight w:val="none"/>
              </w:rPr>
              <w:t>1．历史上推动南中萌芽、发展、壮大的杰出校长；</w:t>
            </w:r>
            <w:r>
              <w:rPr>
                <w:rFonts w:hint="eastAsia"/>
                <w:color w:val="000000"/>
                <w:sz w:val="16"/>
                <w:szCs w:val="16"/>
                <w:highlight w:val="none"/>
              </w:rPr>
              <w:br w:type="textWrapping"/>
            </w:r>
            <w:r>
              <w:rPr>
                <w:rFonts w:hint="eastAsia"/>
                <w:color w:val="000000"/>
                <w:sz w:val="16"/>
                <w:szCs w:val="16"/>
                <w:highlight w:val="none"/>
              </w:rPr>
              <w:t>2．校长人物经历，教育背景、教学生涯等介绍；</w:t>
            </w:r>
            <w:r>
              <w:rPr>
                <w:rFonts w:hint="eastAsia"/>
                <w:color w:val="000000"/>
                <w:sz w:val="16"/>
                <w:szCs w:val="16"/>
                <w:highlight w:val="none"/>
              </w:rPr>
              <w:br w:type="textWrapping"/>
            </w:r>
            <w:r>
              <w:rPr>
                <w:rFonts w:hint="eastAsia"/>
                <w:color w:val="000000"/>
                <w:sz w:val="16"/>
                <w:szCs w:val="16"/>
                <w:highlight w:val="none"/>
              </w:rPr>
              <w:t>3．校长们的教学成果，桃李满天下；</w:t>
            </w:r>
            <w:r>
              <w:rPr>
                <w:rFonts w:hint="eastAsia"/>
                <w:color w:val="000000"/>
                <w:sz w:val="16"/>
                <w:szCs w:val="16"/>
                <w:highlight w:val="none"/>
              </w:rPr>
              <w:br w:type="textWrapping"/>
            </w:r>
            <w:r>
              <w:rPr>
                <w:rFonts w:hint="eastAsia"/>
                <w:color w:val="000000"/>
                <w:sz w:val="16"/>
                <w:szCs w:val="16"/>
                <w:highlight w:val="none"/>
              </w:rPr>
              <w:t>4．在任校长期间，推行实施的教育理念；</w:t>
            </w:r>
            <w:r>
              <w:rPr>
                <w:rFonts w:hint="eastAsia"/>
                <w:color w:val="000000"/>
                <w:sz w:val="16"/>
                <w:szCs w:val="16"/>
                <w:highlight w:val="none"/>
              </w:rPr>
              <w:br w:type="textWrapping"/>
            </w:r>
            <w:r>
              <w:rPr>
                <w:rFonts w:hint="eastAsia"/>
                <w:color w:val="000000"/>
                <w:sz w:val="16"/>
                <w:szCs w:val="16"/>
                <w:highlight w:val="none"/>
              </w:rPr>
              <w:t>5．他们对南中发展的推动，对学校的重大影响；</w:t>
            </w:r>
            <w:r>
              <w:rPr>
                <w:rFonts w:hint="eastAsia"/>
                <w:color w:val="000000"/>
                <w:sz w:val="16"/>
                <w:szCs w:val="16"/>
                <w:highlight w:val="none"/>
              </w:rPr>
              <w:br w:type="textWrapping"/>
            </w:r>
            <w:r>
              <w:rPr>
                <w:rFonts w:hint="eastAsia"/>
                <w:color w:val="000000"/>
                <w:sz w:val="16"/>
                <w:szCs w:val="16"/>
                <w:highlight w:val="none"/>
              </w:rPr>
              <w:t>6．校长卓越功勋，他们在教育科研方面所取得的成绩；</w:t>
            </w:r>
            <w:r>
              <w:rPr>
                <w:rFonts w:hint="eastAsia"/>
                <w:color w:val="000000"/>
                <w:sz w:val="16"/>
                <w:szCs w:val="16"/>
                <w:highlight w:val="none"/>
              </w:rPr>
              <w:br w:type="textWrapping"/>
            </w:r>
            <w:r>
              <w:rPr>
                <w:rFonts w:hint="eastAsia"/>
                <w:color w:val="000000"/>
                <w:sz w:val="16"/>
                <w:szCs w:val="16"/>
                <w:highlight w:val="none"/>
              </w:rPr>
              <w:t>7．校长相关采访、报道、音视频等资料查询；</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内容主题：南头中学90年代前杰出校友介绍</w:t>
            </w:r>
            <w:r>
              <w:rPr>
                <w:rFonts w:hint="eastAsia"/>
                <w:color w:val="000000"/>
                <w:sz w:val="16"/>
                <w:szCs w:val="16"/>
                <w:highlight w:val="none"/>
              </w:rPr>
              <w:br w:type="textWrapping"/>
            </w:r>
            <w:r>
              <w:rPr>
                <w:rFonts w:hint="eastAsia"/>
                <w:color w:val="000000"/>
                <w:sz w:val="16"/>
                <w:szCs w:val="16"/>
                <w:highlight w:val="none"/>
              </w:rPr>
              <w:t>实现效果：参观者可通过触控操作了解他们与南中的渊源，毕业后他们在社会各行各业的成就，展现南中为国家培养的一代代英才；</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黄宝琦、王灶安、谢芳、林日珍、丘挺、郑元、郑志光、陈锦卿......</w:t>
            </w:r>
            <w:r>
              <w:rPr>
                <w:rFonts w:hint="eastAsia"/>
                <w:color w:val="000000"/>
                <w:sz w:val="16"/>
                <w:szCs w:val="16"/>
                <w:highlight w:val="none"/>
              </w:rPr>
              <w:br w:type="textWrapping"/>
            </w:r>
            <w:r>
              <w:rPr>
                <w:rFonts w:hint="eastAsia"/>
                <w:color w:val="000000"/>
                <w:sz w:val="16"/>
                <w:szCs w:val="16"/>
                <w:highlight w:val="none"/>
              </w:rPr>
              <w:t>1．90年代前杰出校友的相关介绍；</w:t>
            </w:r>
            <w:r>
              <w:rPr>
                <w:rFonts w:hint="eastAsia"/>
                <w:color w:val="000000"/>
                <w:sz w:val="16"/>
                <w:szCs w:val="16"/>
                <w:highlight w:val="none"/>
              </w:rPr>
              <w:br w:type="textWrapping"/>
            </w:r>
            <w:r>
              <w:rPr>
                <w:rFonts w:hint="eastAsia"/>
                <w:color w:val="000000"/>
                <w:sz w:val="16"/>
                <w:szCs w:val="16"/>
                <w:highlight w:val="none"/>
              </w:rPr>
              <w:t>2．人物相关经历、教育背景等；</w:t>
            </w:r>
            <w:r>
              <w:rPr>
                <w:rFonts w:hint="eastAsia"/>
                <w:color w:val="000000"/>
                <w:sz w:val="16"/>
                <w:szCs w:val="16"/>
                <w:highlight w:val="none"/>
              </w:rPr>
              <w:br w:type="textWrapping"/>
            </w:r>
            <w:r>
              <w:rPr>
                <w:rFonts w:hint="eastAsia"/>
                <w:color w:val="000000"/>
                <w:sz w:val="16"/>
                <w:szCs w:val="16"/>
                <w:highlight w:val="none"/>
              </w:rPr>
              <w:t>3．他们在南中的成长学习历程；</w:t>
            </w:r>
            <w:r>
              <w:rPr>
                <w:rFonts w:hint="eastAsia"/>
                <w:color w:val="000000"/>
                <w:sz w:val="16"/>
                <w:szCs w:val="16"/>
                <w:highlight w:val="none"/>
              </w:rPr>
              <w:br w:type="textWrapping"/>
            </w:r>
            <w:r>
              <w:rPr>
                <w:rFonts w:hint="eastAsia"/>
                <w:color w:val="000000"/>
                <w:sz w:val="16"/>
                <w:szCs w:val="16"/>
                <w:highlight w:val="none"/>
              </w:rPr>
              <w:t>4．南中对他们学业、价值观的塑造影响；</w:t>
            </w:r>
            <w:r>
              <w:rPr>
                <w:rFonts w:hint="eastAsia"/>
                <w:color w:val="000000"/>
                <w:sz w:val="16"/>
                <w:szCs w:val="16"/>
                <w:highlight w:val="none"/>
              </w:rPr>
              <w:br w:type="textWrapping"/>
            </w:r>
            <w:r>
              <w:rPr>
                <w:rFonts w:hint="eastAsia"/>
                <w:color w:val="000000"/>
                <w:sz w:val="16"/>
                <w:szCs w:val="16"/>
                <w:highlight w:val="none"/>
              </w:rPr>
              <w:t>5．通过人物经历带出南中的时代记忆；</w:t>
            </w:r>
            <w:r>
              <w:rPr>
                <w:rFonts w:hint="eastAsia"/>
                <w:color w:val="000000"/>
                <w:sz w:val="16"/>
                <w:szCs w:val="16"/>
                <w:highlight w:val="none"/>
              </w:rPr>
              <w:br w:type="textWrapping"/>
            </w:r>
            <w:r>
              <w:rPr>
                <w:rFonts w:hint="eastAsia"/>
                <w:color w:val="000000"/>
                <w:sz w:val="16"/>
                <w:szCs w:val="16"/>
                <w:highlight w:val="none"/>
              </w:rPr>
              <w:t>6．校友们毕业后在各行各业的发展成就；</w:t>
            </w:r>
            <w:r>
              <w:rPr>
                <w:rFonts w:hint="eastAsia"/>
                <w:color w:val="000000"/>
                <w:sz w:val="16"/>
                <w:szCs w:val="16"/>
                <w:highlight w:val="none"/>
              </w:rPr>
              <w:br w:type="textWrapping"/>
            </w:r>
            <w:r>
              <w:rPr>
                <w:rFonts w:hint="eastAsia"/>
                <w:color w:val="000000"/>
                <w:sz w:val="16"/>
                <w:szCs w:val="16"/>
                <w:highlight w:val="none"/>
              </w:rPr>
              <w:t>7．心系母校，回校探视的相关资料；</w:t>
            </w:r>
            <w:r>
              <w:rPr>
                <w:rFonts w:hint="eastAsia"/>
                <w:color w:val="000000"/>
                <w:sz w:val="16"/>
                <w:szCs w:val="16"/>
                <w:highlight w:val="none"/>
              </w:rPr>
              <w:br w:type="textWrapping"/>
            </w:r>
            <w:r>
              <w:rPr>
                <w:rFonts w:hint="eastAsia"/>
                <w:color w:val="000000"/>
                <w:sz w:val="16"/>
                <w:szCs w:val="16"/>
                <w:highlight w:val="none"/>
              </w:rPr>
              <w:t>8．校友成就相关采访、报道、音视频等资料查询；</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根据展示主题领军人物，梳理资料，结合图文信息资料，编写策划脚本文件；</w:t>
            </w:r>
            <w:r>
              <w:rPr>
                <w:rFonts w:hint="eastAsia"/>
                <w:color w:val="000000"/>
                <w:sz w:val="16"/>
                <w:szCs w:val="16"/>
                <w:highlight w:val="none"/>
              </w:rPr>
              <w:br w:type="textWrapping"/>
            </w:r>
            <w:r>
              <w:rPr>
                <w:rFonts w:hint="eastAsia"/>
                <w:color w:val="000000"/>
                <w:sz w:val="16"/>
                <w:szCs w:val="16"/>
                <w:highlight w:val="none"/>
              </w:rPr>
              <w:t>名师垂范内容大纲：</w:t>
            </w:r>
            <w:r>
              <w:rPr>
                <w:rFonts w:hint="eastAsia"/>
                <w:color w:val="000000"/>
                <w:sz w:val="16"/>
                <w:szCs w:val="16"/>
                <w:highlight w:val="none"/>
              </w:rPr>
              <w:br w:type="textWrapping"/>
            </w:r>
            <w:r>
              <w:rPr>
                <w:rFonts w:hint="eastAsia"/>
                <w:color w:val="000000"/>
                <w:sz w:val="16"/>
                <w:szCs w:val="16"/>
                <w:highlight w:val="none"/>
              </w:rPr>
              <w:t>内容主题：南头中学名师团队介绍</w:t>
            </w:r>
            <w:r>
              <w:rPr>
                <w:rFonts w:hint="eastAsia"/>
                <w:color w:val="000000"/>
                <w:sz w:val="16"/>
                <w:szCs w:val="16"/>
                <w:highlight w:val="none"/>
              </w:rPr>
              <w:br w:type="textWrapping"/>
            </w:r>
            <w:r>
              <w:rPr>
                <w:rFonts w:hint="eastAsia"/>
                <w:color w:val="000000"/>
                <w:sz w:val="16"/>
                <w:szCs w:val="16"/>
                <w:highlight w:val="none"/>
              </w:rPr>
              <w:t>实现效果：参观者可自行在液晶屏上查看南中名师团队，了解老师们的简历作品、荣誉资历等，展现南中师资团队实力；</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宁军敏、茹清平、王剑钢、方亚斌、俞远光、李雅娟、陈德华、彭公瑾、邱修良、闫一、姜勇、秦卫兵、张艳杰、黄冬梅、王小海、秦海鸥、卢炜、胡德才......</w:t>
            </w:r>
            <w:r>
              <w:rPr>
                <w:rFonts w:hint="eastAsia"/>
                <w:color w:val="000000"/>
                <w:sz w:val="16"/>
                <w:szCs w:val="16"/>
                <w:highlight w:val="none"/>
              </w:rPr>
              <w:br w:type="textWrapping"/>
            </w:r>
            <w:r>
              <w:rPr>
                <w:rFonts w:hint="eastAsia"/>
                <w:color w:val="000000"/>
                <w:sz w:val="16"/>
                <w:szCs w:val="16"/>
                <w:highlight w:val="none"/>
              </w:rPr>
              <w:t>1．南中名师团队总览；</w:t>
            </w:r>
            <w:r>
              <w:rPr>
                <w:rFonts w:hint="eastAsia"/>
                <w:color w:val="000000"/>
                <w:sz w:val="16"/>
                <w:szCs w:val="16"/>
                <w:highlight w:val="none"/>
              </w:rPr>
              <w:br w:type="textWrapping"/>
            </w:r>
            <w:r>
              <w:rPr>
                <w:rFonts w:hint="eastAsia"/>
                <w:color w:val="000000"/>
                <w:sz w:val="16"/>
                <w:szCs w:val="16"/>
                <w:highlight w:val="none"/>
              </w:rPr>
              <w:t>2．教师教育背景、授教经历的介绍；</w:t>
            </w:r>
            <w:r>
              <w:rPr>
                <w:rFonts w:hint="eastAsia"/>
                <w:color w:val="000000"/>
                <w:sz w:val="16"/>
                <w:szCs w:val="16"/>
                <w:highlight w:val="none"/>
              </w:rPr>
              <w:br w:type="textWrapping"/>
            </w:r>
            <w:r>
              <w:rPr>
                <w:rFonts w:hint="eastAsia"/>
                <w:color w:val="000000"/>
                <w:sz w:val="16"/>
                <w:szCs w:val="16"/>
                <w:highlight w:val="none"/>
              </w:rPr>
              <w:t>3．老师教学成果，培养的优秀学子介绍；</w:t>
            </w:r>
            <w:r>
              <w:rPr>
                <w:rFonts w:hint="eastAsia"/>
                <w:color w:val="000000"/>
                <w:sz w:val="16"/>
                <w:szCs w:val="16"/>
                <w:highlight w:val="none"/>
              </w:rPr>
              <w:br w:type="textWrapping"/>
            </w:r>
            <w:r>
              <w:rPr>
                <w:rFonts w:hint="eastAsia"/>
                <w:color w:val="000000"/>
                <w:sz w:val="16"/>
                <w:szCs w:val="16"/>
                <w:highlight w:val="none"/>
              </w:rPr>
              <w:t>4．教研成果，论文发表等相关资料；</w:t>
            </w:r>
            <w:r>
              <w:rPr>
                <w:rFonts w:hint="eastAsia"/>
                <w:color w:val="000000"/>
                <w:sz w:val="16"/>
                <w:szCs w:val="16"/>
                <w:highlight w:val="none"/>
              </w:rPr>
              <w:br w:type="textWrapping"/>
            </w:r>
            <w:r>
              <w:rPr>
                <w:rFonts w:hint="eastAsia"/>
                <w:color w:val="000000"/>
                <w:sz w:val="16"/>
                <w:szCs w:val="16"/>
                <w:highlight w:val="none"/>
              </w:rPr>
              <w:t>5．所获竞赛以及省级、全国性荣誉的展现；</w:t>
            </w:r>
            <w:r>
              <w:rPr>
                <w:rFonts w:hint="eastAsia"/>
                <w:color w:val="000000"/>
                <w:sz w:val="16"/>
                <w:szCs w:val="16"/>
                <w:highlight w:val="none"/>
              </w:rPr>
              <w:br w:type="textWrapping"/>
            </w:r>
            <w:r>
              <w:rPr>
                <w:rFonts w:hint="eastAsia"/>
                <w:color w:val="000000"/>
                <w:sz w:val="16"/>
                <w:szCs w:val="16"/>
                <w:highlight w:val="none"/>
              </w:rPr>
              <w:t>6．教师作品查阅；</w:t>
            </w:r>
            <w:r>
              <w:rPr>
                <w:rFonts w:hint="eastAsia"/>
                <w:color w:val="000000"/>
                <w:sz w:val="16"/>
                <w:szCs w:val="16"/>
                <w:highlight w:val="none"/>
              </w:rPr>
              <w:br w:type="textWrapping"/>
            </w:r>
            <w:r>
              <w:rPr>
                <w:rFonts w:hint="eastAsia"/>
                <w:color w:val="000000"/>
                <w:sz w:val="16"/>
                <w:szCs w:val="16"/>
                <w:highlight w:val="none"/>
              </w:rPr>
              <w:t>7．教学理念，与学生之间的故事；</w:t>
            </w:r>
            <w:r>
              <w:rPr>
                <w:rFonts w:hint="eastAsia"/>
                <w:color w:val="000000"/>
                <w:sz w:val="16"/>
                <w:szCs w:val="16"/>
                <w:highlight w:val="none"/>
              </w:rPr>
              <w:br w:type="textWrapping"/>
            </w:r>
            <w:r>
              <w:rPr>
                <w:rFonts w:hint="eastAsia"/>
                <w:color w:val="000000"/>
                <w:sz w:val="16"/>
                <w:szCs w:val="16"/>
                <w:highlight w:val="none"/>
              </w:rPr>
              <w:t>8．人物相关采访、报道、音视频等资料查询；</w:t>
            </w:r>
            <w:r>
              <w:rPr>
                <w:rFonts w:hint="eastAsia"/>
                <w:color w:val="000000"/>
                <w:sz w:val="16"/>
                <w:szCs w:val="16"/>
                <w:highlight w:val="none"/>
              </w:rPr>
              <w:br w:type="textWrapping"/>
            </w:r>
            <w:r>
              <w:rPr>
                <w:rFonts w:hint="eastAsia"/>
                <w:color w:val="000000"/>
                <w:sz w:val="16"/>
                <w:szCs w:val="16"/>
                <w:highlight w:val="none"/>
              </w:rPr>
              <w:br w:type="textWrapping"/>
            </w:r>
            <w:r>
              <w:rPr>
                <w:rFonts w:hint="eastAsia"/>
                <w:color w:val="000000"/>
                <w:sz w:val="16"/>
                <w:szCs w:val="16"/>
                <w:highlight w:val="none"/>
              </w:rPr>
              <w:t>百年辉煌内容大纲：</w:t>
            </w:r>
            <w:r>
              <w:rPr>
                <w:rFonts w:hint="eastAsia"/>
                <w:color w:val="000000"/>
                <w:sz w:val="16"/>
                <w:szCs w:val="16"/>
                <w:highlight w:val="none"/>
              </w:rPr>
              <w:br w:type="textWrapping"/>
            </w:r>
            <w:r>
              <w:rPr>
                <w:rFonts w:hint="eastAsia"/>
                <w:color w:val="000000"/>
                <w:sz w:val="16"/>
                <w:szCs w:val="16"/>
                <w:highlight w:val="none"/>
              </w:rPr>
              <w:t>内容主题：南头中学百年发展历程中所获得荣誉成就</w:t>
            </w:r>
            <w:r>
              <w:rPr>
                <w:rFonts w:hint="eastAsia"/>
                <w:color w:val="000000"/>
                <w:sz w:val="16"/>
                <w:szCs w:val="16"/>
                <w:highlight w:val="none"/>
              </w:rPr>
              <w:br w:type="textWrapping"/>
            </w:r>
            <w:r>
              <w:rPr>
                <w:rFonts w:hint="eastAsia"/>
                <w:color w:val="000000"/>
                <w:sz w:val="16"/>
                <w:szCs w:val="16"/>
                <w:highlight w:val="none"/>
              </w:rPr>
              <w:t>实现效果：展现南中的发展壮大，优秀学子遍布海内外，不断进步创造辉煌；</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1979年至今荣誉名单</w:t>
            </w:r>
            <w:r>
              <w:rPr>
                <w:rFonts w:hint="eastAsia"/>
                <w:color w:val="000000"/>
                <w:sz w:val="16"/>
                <w:szCs w:val="16"/>
                <w:highlight w:val="none"/>
              </w:rPr>
              <w:br w:type="textWrapping"/>
            </w:r>
            <w:r>
              <w:rPr>
                <w:rFonts w:hint="eastAsia"/>
                <w:color w:val="000000"/>
                <w:sz w:val="16"/>
                <w:szCs w:val="16"/>
                <w:highlight w:val="none"/>
              </w:rPr>
              <w:t>近十年校友名单查询</w:t>
            </w:r>
            <w:r>
              <w:rPr>
                <w:rFonts w:hint="eastAsia"/>
                <w:color w:val="000000"/>
                <w:sz w:val="16"/>
                <w:szCs w:val="16"/>
                <w:highlight w:val="none"/>
              </w:rPr>
              <w:br w:type="textWrapping"/>
            </w:r>
            <w:r>
              <w:rPr>
                <w:rFonts w:hint="eastAsia"/>
                <w:color w:val="000000"/>
                <w:sz w:val="16"/>
                <w:szCs w:val="16"/>
                <w:highlight w:val="none"/>
              </w:rPr>
              <w:t>1．1979年至今，南中所获得荣誉汇总；</w:t>
            </w:r>
            <w:r>
              <w:rPr>
                <w:rFonts w:hint="eastAsia"/>
                <w:color w:val="000000"/>
                <w:sz w:val="16"/>
                <w:szCs w:val="16"/>
                <w:highlight w:val="none"/>
              </w:rPr>
              <w:br w:type="textWrapping"/>
            </w:r>
            <w:r>
              <w:rPr>
                <w:rFonts w:hint="eastAsia"/>
                <w:color w:val="000000"/>
                <w:sz w:val="16"/>
                <w:szCs w:val="16"/>
                <w:highlight w:val="none"/>
              </w:rPr>
              <w:t>2．相关荣誉的颁发单位介绍；</w:t>
            </w:r>
            <w:r>
              <w:rPr>
                <w:rFonts w:hint="eastAsia"/>
                <w:color w:val="000000"/>
                <w:sz w:val="16"/>
                <w:szCs w:val="16"/>
                <w:highlight w:val="none"/>
              </w:rPr>
              <w:br w:type="textWrapping"/>
            </w:r>
            <w:r>
              <w:rPr>
                <w:rFonts w:hint="eastAsia"/>
                <w:color w:val="000000"/>
                <w:sz w:val="16"/>
                <w:szCs w:val="16"/>
                <w:highlight w:val="none"/>
              </w:rPr>
              <w:t>3．荣誉奖牌图片浏览，展现南中实力；</w:t>
            </w:r>
            <w:r>
              <w:rPr>
                <w:rFonts w:hint="eastAsia"/>
                <w:color w:val="000000"/>
                <w:sz w:val="16"/>
                <w:szCs w:val="16"/>
                <w:highlight w:val="none"/>
              </w:rPr>
              <w:br w:type="textWrapping"/>
            </w:r>
            <w:r>
              <w:rPr>
                <w:rFonts w:hint="eastAsia"/>
                <w:color w:val="000000"/>
                <w:sz w:val="16"/>
                <w:szCs w:val="16"/>
                <w:highlight w:val="none"/>
              </w:rPr>
              <w:t>4．南中相关新闻报道以及音视频资料查看；</w:t>
            </w:r>
            <w:r>
              <w:rPr>
                <w:rFonts w:hint="eastAsia"/>
                <w:color w:val="000000"/>
                <w:sz w:val="16"/>
                <w:szCs w:val="16"/>
                <w:highlight w:val="none"/>
              </w:rPr>
              <w:br w:type="textWrapping"/>
            </w:r>
            <w:r>
              <w:rPr>
                <w:rFonts w:hint="eastAsia"/>
                <w:color w:val="000000"/>
                <w:sz w:val="16"/>
                <w:szCs w:val="16"/>
                <w:highlight w:val="none"/>
              </w:rPr>
              <w:t>5．南中历届校友菜单；</w:t>
            </w:r>
            <w:r>
              <w:rPr>
                <w:rFonts w:hint="eastAsia"/>
                <w:color w:val="000000"/>
                <w:sz w:val="16"/>
                <w:szCs w:val="16"/>
                <w:highlight w:val="none"/>
              </w:rPr>
              <w:br w:type="textWrapping"/>
            </w:r>
            <w:r>
              <w:rPr>
                <w:rFonts w:hint="eastAsia"/>
                <w:color w:val="000000"/>
                <w:sz w:val="16"/>
                <w:szCs w:val="16"/>
                <w:highlight w:val="none"/>
              </w:rPr>
              <w:t>6．校友名单查询；</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内容主题：南头中学百年校庆盛况</w:t>
            </w:r>
            <w:r>
              <w:rPr>
                <w:rFonts w:hint="eastAsia"/>
                <w:color w:val="000000"/>
                <w:sz w:val="16"/>
                <w:szCs w:val="16"/>
                <w:highlight w:val="none"/>
              </w:rPr>
              <w:br w:type="textWrapping"/>
            </w:r>
            <w:r>
              <w:rPr>
                <w:rFonts w:hint="eastAsia"/>
                <w:color w:val="000000"/>
                <w:sz w:val="16"/>
                <w:szCs w:val="16"/>
                <w:highlight w:val="none"/>
              </w:rPr>
              <w:t>实现效果：各领导莅临南中，海内外校友齐聚一堂，南中师生共放光芒，再现百年校庆一幕幕精彩瞬间，让受众感受到百年南中的悠久历史以及凝聚力、创造力；</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校庆盛况、开幕仪式、领导参观、校友合影、文艺晚会、活动讲座......</w:t>
            </w:r>
            <w:r>
              <w:rPr>
                <w:rFonts w:hint="eastAsia"/>
                <w:color w:val="000000"/>
                <w:sz w:val="16"/>
                <w:szCs w:val="16"/>
                <w:highlight w:val="none"/>
              </w:rPr>
              <w:br w:type="textWrapping"/>
            </w:r>
            <w:r>
              <w:rPr>
                <w:rFonts w:hint="eastAsia"/>
                <w:color w:val="000000"/>
                <w:sz w:val="16"/>
                <w:szCs w:val="16"/>
                <w:highlight w:val="none"/>
              </w:rPr>
              <w:t>1．南中百年校庆盛况；</w:t>
            </w:r>
            <w:r>
              <w:rPr>
                <w:rFonts w:hint="eastAsia"/>
                <w:color w:val="000000"/>
                <w:sz w:val="16"/>
                <w:szCs w:val="16"/>
                <w:highlight w:val="none"/>
              </w:rPr>
              <w:br w:type="textWrapping"/>
            </w:r>
            <w:r>
              <w:rPr>
                <w:rFonts w:hint="eastAsia"/>
                <w:color w:val="000000"/>
                <w:sz w:val="16"/>
                <w:szCs w:val="16"/>
                <w:highlight w:val="none"/>
              </w:rPr>
              <w:t>2．各领导莅临南中现场；</w:t>
            </w:r>
            <w:r>
              <w:rPr>
                <w:rFonts w:hint="eastAsia"/>
                <w:color w:val="000000"/>
                <w:sz w:val="16"/>
                <w:szCs w:val="16"/>
                <w:highlight w:val="none"/>
              </w:rPr>
              <w:br w:type="textWrapping"/>
            </w:r>
            <w:r>
              <w:rPr>
                <w:rFonts w:hint="eastAsia"/>
                <w:color w:val="000000"/>
                <w:sz w:val="16"/>
                <w:szCs w:val="16"/>
                <w:highlight w:val="none"/>
              </w:rPr>
              <w:t>3．开幕式演讲照片以及视频资料；</w:t>
            </w:r>
            <w:r>
              <w:rPr>
                <w:rFonts w:hint="eastAsia"/>
                <w:color w:val="000000"/>
                <w:sz w:val="16"/>
                <w:szCs w:val="16"/>
                <w:highlight w:val="none"/>
              </w:rPr>
              <w:br w:type="textWrapping"/>
            </w:r>
            <w:r>
              <w:rPr>
                <w:rFonts w:hint="eastAsia"/>
                <w:color w:val="000000"/>
                <w:sz w:val="16"/>
                <w:szCs w:val="16"/>
                <w:highlight w:val="none"/>
              </w:rPr>
              <w:t>4．海内外校友齐聚一堂，共庆南中100年华诞；</w:t>
            </w:r>
            <w:r>
              <w:rPr>
                <w:rFonts w:hint="eastAsia"/>
                <w:color w:val="000000"/>
                <w:sz w:val="16"/>
                <w:szCs w:val="16"/>
                <w:highlight w:val="none"/>
              </w:rPr>
              <w:br w:type="textWrapping"/>
            </w:r>
            <w:r>
              <w:rPr>
                <w:rFonts w:hint="eastAsia"/>
                <w:color w:val="000000"/>
                <w:sz w:val="16"/>
                <w:szCs w:val="16"/>
                <w:highlight w:val="none"/>
              </w:rPr>
              <w:t>5．学生家长参加百年校庆现场照片；</w:t>
            </w:r>
            <w:r>
              <w:rPr>
                <w:rFonts w:hint="eastAsia"/>
                <w:color w:val="000000"/>
                <w:sz w:val="16"/>
                <w:szCs w:val="16"/>
                <w:highlight w:val="none"/>
              </w:rPr>
              <w:br w:type="textWrapping"/>
            </w:r>
            <w:r>
              <w:rPr>
                <w:rFonts w:hint="eastAsia"/>
                <w:color w:val="000000"/>
                <w:sz w:val="16"/>
                <w:szCs w:val="16"/>
                <w:highlight w:val="none"/>
              </w:rPr>
              <w:t>6．百年校庆讲座、校庆林等系列活动介绍；</w:t>
            </w:r>
            <w:r>
              <w:rPr>
                <w:rFonts w:hint="eastAsia"/>
                <w:color w:val="000000"/>
                <w:sz w:val="16"/>
                <w:szCs w:val="16"/>
                <w:highlight w:val="none"/>
              </w:rPr>
              <w:br w:type="textWrapping"/>
            </w:r>
            <w:r>
              <w:rPr>
                <w:rFonts w:hint="eastAsia"/>
                <w:color w:val="000000"/>
                <w:sz w:val="16"/>
                <w:szCs w:val="16"/>
                <w:highlight w:val="none"/>
              </w:rPr>
              <w:t>7．历届老校友合影浏览；</w:t>
            </w:r>
            <w:r>
              <w:rPr>
                <w:rFonts w:hint="eastAsia"/>
                <w:color w:val="000000"/>
                <w:sz w:val="16"/>
                <w:szCs w:val="16"/>
                <w:highlight w:val="none"/>
              </w:rPr>
              <w:br w:type="textWrapping"/>
            </w:r>
            <w:r>
              <w:rPr>
                <w:rFonts w:hint="eastAsia"/>
                <w:color w:val="000000"/>
                <w:sz w:val="16"/>
                <w:szCs w:val="16"/>
                <w:highlight w:val="none"/>
              </w:rPr>
              <w:t>8．晚会现场照片，再现百年校庆一幕幕精彩瞬间；</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内容主题：南头中学校园活动的介绍</w:t>
            </w:r>
            <w:r>
              <w:rPr>
                <w:rFonts w:hint="eastAsia"/>
                <w:color w:val="000000"/>
                <w:sz w:val="16"/>
                <w:szCs w:val="16"/>
                <w:highlight w:val="none"/>
              </w:rPr>
              <w:br w:type="textWrapping"/>
            </w:r>
            <w:r>
              <w:rPr>
                <w:rFonts w:hint="eastAsia"/>
                <w:color w:val="000000"/>
                <w:sz w:val="16"/>
                <w:szCs w:val="16"/>
                <w:highlight w:val="none"/>
              </w:rPr>
              <w:t>实现效果：触控查看南中校内比赛、社团活动、公益讲座等，打破人们对中学的固有印象，展现南中人多姿多彩的校园文化生活，德智体美劳全面发展；</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社团活动、校园活动、校内比赛、文化生活、公益演讲......</w:t>
            </w:r>
            <w:r>
              <w:rPr>
                <w:rFonts w:hint="eastAsia"/>
                <w:color w:val="000000"/>
                <w:sz w:val="16"/>
                <w:szCs w:val="16"/>
                <w:highlight w:val="none"/>
              </w:rPr>
              <w:br w:type="textWrapping"/>
            </w:r>
            <w:r>
              <w:rPr>
                <w:rFonts w:hint="eastAsia"/>
                <w:color w:val="000000"/>
                <w:sz w:val="16"/>
                <w:szCs w:val="16"/>
                <w:highlight w:val="none"/>
              </w:rPr>
              <w:t>1．南中校内比赛相关资料；</w:t>
            </w:r>
            <w:r>
              <w:rPr>
                <w:rFonts w:hint="eastAsia"/>
                <w:color w:val="000000"/>
                <w:sz w:val="16"/>
                <w:szCs w:val="16"/>
                <w:highlight w:val="none"/>
              </w:rPr>
              <w:br w:type="textWrapping"/>
            </w:r>
            <w:r>
              <w:rPr>
                <w:rFonts w:hint="eastAsia"/>
                <w:color w:val="000000"/>
                <w:sz w:val="16"/>
                <w:szCs w:val="16"/>
                <w:highlight w:val="none"/>
              </w:rPr>
              <w:t>2．学校社团分类介绍；</w:t>
            </w:r>
            <w:r>
              <w:rPr>
                <w:rFonts w:hint="eastAsia"/>
                <w:color w:val="000000"/>
                <w:sz w:val="16"/>
                <w:szCs w:val="16"/>
                <w:highlight w:val="none"/>
              </w:rPr>
              <w:br w:type="textWrapping"/>
            </w:r>
            <w:r>
              <w:rPr>
                <w:rFonts w:hint="eastAsia"/>
                <w:color w:val="000000"/>
                <w:sz w:val="16"/>
                <w:szCs w:val="16"/>
                <w:highlight w:val="none"/>
              </w:rPr>
              <w:t>3．不同社团的比赛活动图文以及视频；</w:t>
            </w:r>
            <w:r>
              <w:rPr>
                <w:rFonts w:hint="eastAsia"/>
                <w:color w:val="000000"/>
                <w:sz w:val="16"/>
                <w:szCs w:val="16"/>
                <w:highlight w:val="none"/>
              </w:rPr>
              <w:br w:type="textWrapping"/>
            </w:r>
            <w:r>
              <w:rPr>
                <w:rFonts w:hint="eastAsia"/>
                <w:color w:val="000000"/>
                <w:sz w:val="16"/>
                <w:szCs w:val="16"/>
                <w:highlight w:val="none"/>
              </w:rPr>
              <w:t>4．校园各类讲座，德智体美劳全面发展；</w:t>
            </w:r>
            <w:r>
              <w:rPr>
                <w:rFonts w:hint="eastAsia"/>
                <w:color w:val="000000"/>
                <w:sz w:val="16"/>
                <w:szCs w:val="16"/>
                <w:highlight w:val="none"/>
              </w:rPr>
              <w:br w:type="textWrapping"/>
            </w:r>
            <w:r>
              <w:rPr>
                <w:rFonts w:hint="eastAsia"/>
                <w:color w:val="000000"/>
                <w:sz w:val="16"/>
                <w:szCs w:val="16"/>
                <w:highlight w:val="none"/>
              </w:rPr>
              <w:t>5．南中师生组织参加公益活动的相关资料；</w:t>
            </w:r>
            <w:r>
              <w:rPr>
                <w:rFonts w:hint="eastAsia"/>
                <w:color w:val="000000"/>
                <w:sz w:val="16"/>
                <w:szCs w:val="16"/>
                <w:highlight w:val="none"/>
              </w:rPr>
              <w:br w:type="textWrapping"/>
            </w:r>
            <w:r>
              <w:rPr>
                <w:rFonts w:hint="eastAsia"/>
                <w:color w:val="000000"/>
                <w:sz w:val="16"/>
                <w:szCs w:val="16"/>
                <w:highlight w:val="none"/>
              </w:rPr>
              <w:t>6．校内报道周刊等文化宣传工作；</w:t>
            </w:r>
            <w:r>
              <w:rPr>
                <w:rFonts w:hint="eastAsia"/>
                <w:color w:val="000000"/>
                <w:sz w:val="16"/>
                <w:szCs w:val="16"/>
                <w:highlight w:val="none"/>
              </w:rPr>
              <w:br w:type="textWrapping"/>
            </w:r>
            <w:r>
              <w:rPr>
                <w:rFonts w:hint="eastAsia"/>
                <w:color w:val="000000"/>
                <w:sz w:val="16"/>
                <w:szCs w:val="16"/>
                <w:highlight w:val="none"/>
              </w:rPr>
              <w:t>7．南中师生多姿多彩的校园文化生活；</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内容主题：南头中学对外交流相关介绍</w:t>
            </w:r>
            <w:r>
              <w:rPr>
                <w:rFonts w:hint="eastAsia"/>
                <w:color w:val="000000"/>
                <w:sz w:val="16"/>
                <w:szCs w:val="16"/>
                <w:highlight w:val="none"/>
              </w:rPr>
              <w:br w:type="textWrapping"/>
            </w:r>
            <w:r>
              <w:rPr>
                <w:rFonts w:hint="eastAsia"/>
                <w:color w:val="000000"/>
                <w:sz w:val="16"/>
                <w:szCs w:val="16"/>
                <w:highlight w:val="none"/>
              </w:rPr>
              <w:t>实现效果：参观者通过互动了解南中赴名校考察，参加国外培训，与世界各国名校建立合作关系，展现南中的开放性、包容性、国际性，为师生创造优越的学习条件；</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名校考察、国外培训、友好合作、国际交流、培训讲座......</w:t>
            </w:r>
            <w:r>
              <w:rPr>
                <w:rFonts w:hint="eastAsia"/>
                <w:color w:val="000000"/>
                <w:sz w:val="16"/>
                <w:szCs w:val="16"/>
                <w:highlight w:val="none"/>
              </w:rPr>
              <w:br w:type="textWrapping"/>
            </w:r>
            <w:r>
              <w:rPr>
                <w:rFonts w:hint="eastAsia"/>
                <w:color w:val="000000"/>
                <w:sz w:val="16"/>
                <w:szCs w:val="16"/>
                <w:highlight w:val="none"/>
              </w:rPr>
              <w:t>1．南中与世界名校签约，建立友好合作关系；</w:t>
            </w:r>
            <w:r>
              <w:rPr>
                <w:rFonts w:hint="eastAsia"/>
                <w:color w:val="000000"/>
                <w:sz w:val="16"/>
                <w:szCs w:val="16"/>
                <w:highlight w:val="none"/>
              </w:rPr>
              <w:br w:type="textWrapping"/>
            </w:r>
            <w:r>
              <w:rPr>
                <w:rFonts w:hint="eastAsia"/>
                <w:color w:val="000000"/>
                <w:sz w:val="16"/>
                <w:szCs w:val="16"/>
                <w:highlight w:val="none"/>
              </w:rPr>
              <w:t>2．赴名校考察，汲取成功的教育理念；</w:t>
            </w:r>
            <w:r>
              <w:rPr>
                <w:rFonts w:hint="eastAsia"/>
                <w:color w:val="000000"/>
                <w:sz w:val="16"/>
                <w:szCs w:val="16"/>
                <w:highlight w:val="none"/>
              </w:rPr>
              <w:br w:type="textWrapping"/>
            </w:r>
            <w:r>
              <w:rPr>
                <w:rFonts w:hint="eastAsia"/>
                <w:color w:val="000000"/>
                <w:sz w:val="16"/>
                <w:szCs w:val="16"/>
                <w:highlight w:val="none"/>
              </w:rPr>
              <w:t>3．参加国外培训，打造更大的平台为师生提供更多资源；</w:t>
            </w:r>
            <w:r>
              <w:rPr>
                <w:rFonts w:hint="eastAsia"/>
                <w:color w:val="000000"/>
                <w:sz w:val="16"/>
                <w:szCs w:val="16"/>
                <w:highlight w:val="none"/>
              </w:rPr>
              <w:br w:type="textWrapping"/>
            </w:r>
            <w:r>
              <w:rPr>
                <w:rFonts w:hint="eastAsia"/>
                <w:color w:val="000000"/>
                <w:sz w:val="16"/>
                <w:szCs w:val="16"/>
                <w:highlight w:val="none"/>
              </w:rPr>
              <w:t>4．与国际友人交流学习，共同进步；</w:t>
            </w:r>
            <w:r>
              <w:rPr>
                <w:rFonts w:hint="eastAsia"/>
                <w:color w:val="000000"/>
                <w:sz w:val="16"/>
                <w:szCs w:val="16"/>
                <w:highlight w:val="none"/>
              </w:rPr>
              <w:br w:type="textWrapping"/>
            </w:r>
            <w:r>
              <w:rPr>
                <w:rFonts w:hint="eastAsia"/>
                <w:color w:val="000000"/>
                <w:sz w:val="16"/>
                <w:szCs w:val="16"/>
                <w:highlight w:val="none"/>
              </w:rPr>
              <w:t>5．通过对外交流，创新发展的国际化教育方针；</w:t>
            </w:r>
            <w:r>
              <w:rPr>
                <w:rFonts w:hint="eastAsia"/>
                <w:color w:val="000000"/>
                <w:sz w:val="16"/>
                <w:szCs w:val="16"/>
                <w:highlight w:val="none"/>
              </w:rPr>
              <w:br w:type="textWrapping"/>
            </w:r>
            <w:r>
              <w:rPr>
                <w:rFonts w:hint="eastAsia"/>
                <w:color w:val="000000"/>
                <w:sz w:val="16"/>
                <w:szCs w:val="16"/>
                <w:highlight w:val="none"/>
              </w:rPr>
              <w:t>6．南中友好合作单位名单；</w:t>
            </w:r>
            <w:r>
              <w:rPr>
                <w:rFonts w:hint="eastAsia"/>
                <w:color w:val="000000"/>
                <w:sz w:val="16"/>
                <w:szCs w:val="16"/>
                <w:highlight w:val="none"/>
              </w:rPr>
              <w:br w:type="textWrapping"/>
            </w:r>
            <w:r>
              <w:rPr>
                <w:rFonts w:hint="eastAsia"/>
                <w:color w:val="000000"/>
                <w:sz w:val="16"/>
                <w:szCs w:val="16"/>
                <w:highlight w:val="none"/>
              </w:rPr>
              <w:t>7．南中对外交流相关报道、音视频文件；</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内容主题：南头中学校园新貌影片</w:t>
            </w:r>
            <w:r>
              <w:rPr>
                <w:rFonts w:hint="eastAsia"/>
                <w:color w:val="000000"/>
                <w:sz w:val="16"/>
                <w:szCs w:val="16"/>
                <w:highlight w:val="none"/>
              </w:rPr>
              <w:br w:type="textWrapping"/>
            </w:r>
            <w:r>
              <w:rPr>
                <w:rFonts w:hint="eastAsia"/>
                <w:color w:val="000000"/>
                <w:sz w:val="16"/>
                <w:szCs w:val="16"/>
                <w:highlight w:val="none"/>
              </w:rPr>
              <w:t>实现效果：一方面展现南中的美丽校园景色，优良的学习生活环境；另一方面也让参观者看到南中师生的风采，彰显学校德智体美全面发展新风向，感受南中新貌；</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物——校园环境、功能规划、条件设施、生活配套等</w:t>
            </w:r>
            <w:r>
              <w:rPr>
                <w:rFonts w:hint="eastAsia"/>
                <w:color w:val="000000"/>
                <w:sz w:val="16"/>
                <w:szCs w:val="16"/>
                <w:highlight w:val="none"/>
              </w:rPr>
              <w:br w:type="textWrapping"/>
            </w:r>
            <w:r>
              <w:rPr>
                <w:rFonts w:hint="eastAsia"/>
                <w:color w:val="000000"/>
                <w:sz w:val="16"/>
                <w:szCs w:val="16"/>
                <w:highlight w:val="none"/>
              </w:rPr>
              <w:t>人——南中师生学习、生活、比赛、才艺表演、文化活动等</w:t>
            </w:r>
            <w:r>
              <w:rPr>
                <w:rFonts w:hint="eastAsia"/>
                <w:color w:val="000000"/>
                <w:sz w:val="16"/>
                <w:szCs w:val="16"/>
                <w:highlight w:val="none"/>
              </w:rPr>
              <w:br w:type="textWrapping"/>
            </w:r>
            <w:r>
              <w:rPr>
                <w:rFonts w:hint="eastAsia"/>
                <w:color w:val="000000"/>
                <w:sz w:val="16"/>
                <w:szCs w:val="16"/>
                <w:highlight w:val="none"/>
              </w:rPr>
              <w:t>1．影片播放，从人和物两个方面展现南中校园新貌；</w:t>
            </w:r>
            <w:r>
              <w:rPr>
                <w:rFonts w:hint="eastAsia"/>
                <w:color w:val="000000"/>
                <w:sz w:val="16"/>
                <w:szCs w:val="16"/>
                <w:highlight w:val="none"/>
              </w:rPr>
              <w:br w:type="textWrapping"/>
            </w:r>
            <w:r>
              <w:rPr>
                <w:rFonts w:hint="eastAsia"/>
                <w:color w:val="000000"/>
                <w:sz w:val="16"/>
                <w:szCs w:val="16"/>
                <w:highlight w:val="none"/>
              </w:rPr>
              <w:t>2．南中优美校园环境观赏；</w:t>
            </w:r>
            <w:r>
              <w:rPr>
                <w:rFonts w:hint="eastAsia"/>
                <w:color w:val="000000"/>
                <w:sz w:val="16"/>
                <w:szCs w:val="16"/>
                <w:highlight w:val="none"/>
              </w:rPr>
              <w:br w:type="textWrapping"/>
            </w:r>
            <w:r>
              <w:rPr>
                <w:rFonts w:hint="eastAsia"/>
                <w:color w:val="000000"/>
                <w:sz w:val="16"/>
                <w:szCs w:val="16"/>
                <w:highlight w:val="none"/>
              </w:rPr>
              <w:t>3．学校教学规划、功能设施的介绍；</w:t>
            </w:r>
            <w:r>
              <w:rPr>
                <w:rFonts w:hint="eastAsia"/>
                <w:color w:val="000000"/>
                <w:sz w:val="16"/>
                <w:szCs w:val="16"/>
                <w:highlight w:val="none"/>
              </w:rPr>
              <w:br w:type="textWrapping"/>
            </w:r>
            <w:r>
              <w:rPr>
                <w:rFonts w:hint="eastAsia"/>
                <w:color w:val="000000"/>
                <w:sz w:val="16"/>
                <w:szCs w:val="16"/>
                <w:highlight w:val="none"/>
              </w:rPr>
              <w:t>4．学校为师生创造的生活条件介绍；</w:t>
            </w:r>
            <w:r>
              <w:rPr>
                <w:rFonts w:hint="eastAsia"/>
                <w:color w:val="000000"/>
                <w:sz w:val="16"/>
                <w:szCs w:val="16"/>
                <w:highlight w:val="none"/>
              </w:rPr>
              <w:br w:type="textWrapping"/>
            </w:r>
            <w:r>
              <w:rPr>
                <w:rFonts w:hint="eastAsia"/>
                <w:color w:val="000000"/>
                <w:sz w:val="16"/>
                <w:szCs w:val="16"/>
                <w:highlight w:val="none"/>
              </w:rPr>
              <w:t>5．学校师生在南中快乐学习、生活的场景；</w:t>
            </w:r>
            <w:r>
              <w:rPr>
                <w:rFonts w:hint="eastAsia"/>
                <w:color w:val="000000"/>
                <w:sz w:val="16"/>
                <w:szCs w:val="16"/>
                <w:highlight w:val="none"/>
              </w:rPr>
              <w:br w:type="textWrapping"/>
            </w:r>
            <w:r>
              <w:rPr>
                <w:rFonts w:hint="eastAsia"/>
                <w:color w:val="000000"/>
                <w:sz w:val="16"/>
                <w:szCs w:val="16"/>
                <w:highlight w:val="none"/>
              </w:rPr>
              <w:t>6．师生文化活动、才艺表演视频，彰显南中师生风采；</w:t>
            </w:r>
            <w:r>
              <w:rPr>
                <w:rFonts w:hint="eastAsia"/>
                <w:color w:val="000000"/>
                <w:sz w:val="16"/>
                <w:szCs w:val="16"/>
                <w:highlight w:val="none"/>
              </w:rPr>
              <w:br w:type="textWrapping"/>
            </w:r>
            <w:r>
              <w:rPr>
                <w:rFonts w:hint="eastAsia"/>
                <w:color w:val="000000"/>
                <w:sz w:val="16"/>
                <w:szCs w:val="16"/>
                <w:highlight w:val="none"/>
              </w:rPr>
              <w:t>7．学校相关视频补充更新；</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内容主题：南头中学教学成果展现</w:t>
            </w:r>
            <w:r>
              <w:rPr>
                <w:rFonts w:hint="eastAsia"/>
                <w:color w:val="000000"/>
                <w:sz w:val="16"/>
                <w:szCs w:val="16"/>
                <w:highlight w:val="none"/>
              </w:rPr>
              <w:br w:type="textWrapping"/>
            </w:r>
            <w:r>
              <w:rPr>
                <w:rFonts w:hint="eastAsia"/>
                <w:color w:val="000000"/>
                <w:sz w:val="16"/>
                <w:szCs w:val="16"/>
                <w:highlight w:val="none"/>
              </w:rPr>
              <w:t>实现效果：南头中学近几年升学率，以及老师学生所获得的荣誉成就，展现南中非凡实力，致力于为国家为社会培养一代代英才；</w:t>
            </w:r>
            <w:r>
              <w:rPr>
                <w:rFonts w:hint="eastAsia"/>
                <w:color w:val="000000"/>
                <w:sz w:val="16"/>
                <w:szCs w:val="16"/>
                <w:highlight w:val="none"/>
              </w:rPr>
              <w:br w:type="textWrapping"/>
            </w:r>
            <w:r>
              <w:rPr>
                <w:rFonts w:hint="eastAsia"/>
                <w:color w:val="000000"/>
                <w:sz w:val="16"/>
                <w:szCs w:val="16"/>
                <w:highlight w:val="none"/>
              </w:rPr>
              <w:t>表现形式：图文、音视频文件</w:t>
            </w:r>
            <w:r>
              <w:rPr>
                <w:rFonts w:hint="eastAsia"/>
                <w:color w:val="000000"/>
                <w:sz w:val="16"/>
                <w:szCs w:val="16"/>
                <w:highlight w:val="none"/>
              </w:rPr>
              <w:br w:type="textWrapping"/>
            </w:r>
            <w:r>
              <w:rPr>
                <w:rFonts w:hint="eastAsia"/>
                <w:color w:val="000000"/>
                <w:sz w:val="16"/>
                <w:szCs w:val="16"/>
                <w:highlight w:val="none"/>
              </w:rPr>
              <w:t>脚本大纲：</w:t>
            </w:r>
            <w:r>
              <w:rPr>
                <w:rFonts w:hint="eastAsia"/>
                <w:color w:val="000000"/>
                <w:sz w:val="16"/>
                <w:szCs w:val="16"/>
                <w:highlight w:val="none"/>
              </w:rPr>
              <w:br w:type="textWrapping"/>
            </w:r>
            <w:r>
              <w:rPr>
                <w:rFonts w:hint="eastAsia"/>
                <w:color w:val="000000"/>
                <w:sz w:val="16"/>
                <w:szCs w:val="16"/>
                <w:highlight w:val="none"/>
              </w:rPr>
              <w:t>1．南中近几年考取重点、一本、二本人数；</w:t>
            </w:r>
            <w:r>
              <w:rPr>
                <w:rFonts w:hint="eastAsia"/>
                <w:color w:val="000000"/>
                <w:sz w:val="16"/>
                <w:szCs w:val="16"/>
                <w:highlight w:val="none"/>
              </w:rPr>
              <w:br w:type="textWrapping"/>
            </w:r>
            <w:r>
              <w:rPr>
                <w:rFonts w:hint="eastAsia"/>
                <w:color w:val="000000"/>
                <w:sz w:val="16"/>
                <w:szCs w:val="16"/>
                <w:highlight w:val="none"/>
              </w:rPr>
              <w:t>2．重点率、本科率以及升学率等数据；</w:t>
            </w:r>
            <w:r>
              <w:rPr>
                <w:rFonts w:hint="eastAsia"/>
                <w:color w:val="000000"/>
                <w:sz w:val="16"/>
                <w:szCs w:val="16"/>
                <w:highlight w:val="none"/>
              </w:rPr>
              <w:br w:type="textWrapping"/>
            </w:r>
            <w:r>
              <w:rPr>
                <w:rFonts w:hint="eastAsia"/>
                <w:color w:val="000000"/>
                <w:sz w:val="16"/>
                <w:szCs w:val="16"/>
                <w:highlight w:val="none"/>
              </w:rPr>
              <w:t>3．历届升学率数据分析对比；</w:t>
            </w:r>
            <w:r>
              <w:rPr>
                <w:rFonts w:hint="eastAsia"/>
                <w:color w:val="000000"/>
                <w:sz w:val="16"/>
                <w:szCs w:val="16"/>
                <w:highlight w:val="none"/>
              </w:rPr>
              <w:br w:type="textWrapping"/>
            </w:r>
            <w:r>
              <w:rPr>
                <w:rFonts w:hint="eastAsia"/>
                <w:color w:val="000000"/>
                <w:sz w:val="16"/>
                <w:szCs w:val="16"/>
                <w:highlight w:val="none"/>
              </w:rPr>
              <w:t>4．每年省内以及全国排名；</w:t>
            </w:r>
            <w:r>
              <w:rPr>
                <w:rFonts w:hint="eastAsia"/>
                <w:color w:val="000000"/>
                <w:sz w:val="16"/>
                <w:szCs w:val="16"/>
                <w:highlight w:val="none"/>
              </w:rPr>
              <w:br w:type="textWrapping"/>
            </w:r>
            <w:r>
              <w:rPr>
                <w:rFonts w:hint="eastAsia"/>
                <w:color w:val="000000"/>
                <w:sz w:val="16"/>
                <w:szCs w:val="16"/>
                <w:highlight w:val="none"/>
              </w:rPr>
              <w:t>5．南中高考状元以及优秀毕业生介绍；</w:t>
            </w:r>
            <w:r>
              <w:rPr>
                <w:rFonts w:hint="eastAsia"/>
                <w:color w:val="000000"/>
                <w:sz w:val="16"/>
                <w:szCs w:val="16"/>
                <w:highlight w:val="none"/>
              </w:rPr>
              <w:br w:type="textWrapping"/>
            </w:r>
            <w:r>
              <w:rPr>
                <w:rFonts w:hint="eastAsia"/>
                <w:color w:val="000000"/>
                <w:sz w:val="16"/>
                <w:szCs w:val="16"/>
                <w:highlight w:val="none"/>
              </w:rPr>
              <w:t>6．学生以及团队竞赛所获荣誉展现；</w:t>
            </w:r>
            <w:r>
              <w:rPr>
                <w:rFonts w:hint="eastAsia"/>
                <w:color w:val="000000"/>
                <w:sz w:val="16"/>
                <w:szCs w:val="16"/>
                <w:highlight w:val="none"/>
              </w:rPr>
              <w:br w:type="textWrapping"/>
            </w:r>
            <w:r>
              <w:rPr>
                <w:rFonts w:hint="eastAsia"/>
                <w:color w:val="000000"/>
                <w:sz w:val="16"/>
                <w:szCs w:val="16"/>
                <w:highlight w:val="none"/>
              </w:rPr>
              <w:t>7．老师教学、科研成果展现；</w:t>
            </w:r>
            <w:r>
              <w:rPr>
                <w:rFonts w:hint="eastAsia"/>
                <w:color w:val="000000"/>
                <w:sz w:val="16"/>
                <w:szCs w:val="16"/>
                <w:highlight w:val="none"/>
              </w:rPr>
              <w:br w:type="textWrapping"/>
            </w:r>
            <w:r>
              <w:rPr>
                <w:rFonts w:hint="eastAsia"/>
                <w:color w:val="000000"/>
                <w:sz w:val="16"/>
                <w:szCs w:val="16"/>
                <w:highlight w:val="none"/>
              </w:rPr>
              <w:t>8．学校相关采访、报道、社会关注等。</w:t>
            </w:r>
          </w:p>
        </w:tc>
      </w:tr>
      <w:tr>
        <w:tblPrEx>
          <w:tblLayout w:type="fixed"/>
          <w:tblCellMar>
            <w:top w:w="0" w:type="dxa"/>
            <w:left w:w="0" w:type="dxa"/>
            <w:bottom w:w="0" w:type="dxa"/>
            <w:right w:w="0" w:type="dxa"/>
          </w:tblCellMar>
        </w:tblPrEx>
        <w:trPr>
          <w:trHeight w:val="520" w:hRule="atLeast"/>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2</w:t>
            </w:r>
          </w:p>
        </w:tc>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UI设计</w:t>
            </w: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素材制作</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根据策划理念，针对凤冈书院历史文化事件资料内容设定风格，让参观者展示历史变迁，以丰富有趣画面展示事件内容。</w:t>
            </w:r>
            <w:r>
              <w:rPr>
                <w:rFonts w:hint="eastAsia"/>
                <w:color w:val="000000"/>
                <w:sz w:val="16"/>
                <w:szCs w:val="16"/>
                <w:highlight w:val="none"/>
              </w:rPr>
              <w:br w:type="textWrapping"/>
            </w:r>
            <w:r>
              <w:rPr>
                <w:rFonts w:hint="eastAsia"/>
                <w:color w:val="000000"/>
                <w:sz w:val="16"/>
                <w:szCs w:val="16"/>
                <w:highlight w:val="none"/>
              </w:rPr>
              <w:t>制作方式：UI设计\剪辑包装</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分辨率：5760*1080</w:t>
            </w:r>
            <w:r>
              <w:rPr>
                <w:rFonts w:hint="eastAsia"/>
                <w:color w:val="000000"/>
                <w:sz w:val="16"/>
                <w:szCs w:val="16"/>
                <w:highlight w:val="none"/>
              </w:rPr>
              <w:br w:type="textWrapping"/>
            </w:r>
            <w:r>
              <w:rPr>
                <w:rFonts w:hint="eastAsia"/>
                <w:color w:val="000000"/>
                <w:sz w:val="16"/>
                <w:szCs w:val="16"/>
                <w:highlight w:val="none"/>
              </w:rPr>
              <w:t>设计数量：设备显示面较大，适合多人同时操作，框架采用二级目录结构减少用户操作复杂度，以精简明了的方式展现内容。Ui设计画面数量不少于18，并且预留接口方便后期扩展。</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根据策划理念，针对英贤荟萃资料内容设定风格，对英贤人物详细资料介绍，让参观者了解百年南中的辉煌历史、文化积淀。</w:t>
            </w:r>
            <w:r>
              <w:rPr>
                <w:rFonts w:hint="eastAsia"/>
                <w:color w:val="000000"/>
                <w:sz w:val="16"/>
                <w:szCs w:val="16"/>
                <w:highlight w:val="none"/>
              </w:rPr>
              <w:br w:type="textWrapping"/>
            </w:r>
            <w:r>
              <w:rPr>
                <w:rFonts w:hint="eastAsia"/>
                <w:color w:val="000000"/>
                <w:sz w:val="16"/>
                <w:szCs w:val="16"/>
                <w:highlight w:val="none"/>
              </w:rPr>
              <w:t>制作方式：UI设计\剪辑包装</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分辨率：1920*1080</w:t>
            </w:r>
            <w:r>
              <w:rPr>
                <w:rFonts w:hint="eastAsia"/>
                <w:color w:val="000000"/>
                <w:sz w:val="16"/>
                <w:szCs w:val="16"/>
                <w:highlight w:val="none"/>
              </w:rPr>
              <w:br w:type="textWrapping"/>
            </w:r>
            <w:r>
              <w:rPr>
                <w:rFonts w:hint="eastAsia"/>
                <w:color w:val="000000"/>
                <w:sz w:val="16"/>
                <w:szCs w:val="16"/>
                <w:highlight w:val="none"/>
              </w:rPr>
              <w:t>设计数量：普通触摸屏，适合单人操作，框架采用三级目录结构设计，详细介绍文案资料内容。Ui设计画面数量不少于18，并且预留接口方便后期扩展。</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根据策划理念，针对英贤荟萃资料内容设定风格，对历史上推动南中萌芽、发展、壮大的杰出校长总览详细资料介绍。</w:t>
            </w:r>
            <w:r>
              <w:rPr>
                <w:rFonts w:hint="eastAsia"/>
                <w:color w:val="000000"/>
                <w:sz w:val="16"/>
                <w:szCs w:val="16"/>
                <w:highlight w:val="none"/>
              </w:rPr>
              <w:br w:type="textWrapping"/>
            </w:r>
            <w:r>
              <w:rPr>
                <w:rFonts w:hint="eastAsia"/>
                <w:color w:val="000000"/>
                <w:sz w:val="16"/>
                <w:szCs w:val="16"/>
                <w:highlight w:val="none"/>
              </w:rPr>
              <w:t>制作方式：UI设计\剪辑包装</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分辨率：1920*1080</w:t>
            </w:r>
            <w:r>
              <w:rPr>
                <w:rFonts w:hint="eastAsia"/>
                <w:color w:val="000000"/>
                <w:sz w:val="16"/>
                <w:szCs w:val="16"/>
                <w:highlight w:val="none"/>
              </w:rPr>
              <w:br w:type="textWrapping"/>
            </w:r>
            <w:r>
              <w:rPr>
                <w:rFonts w:hint="eastAsia"/>
                <w:color w:val="000000"/>
                <w:sz w:val="16"/>
                <w:szCs w:val="16"/>
                <w:highlight w:val="none"/>
              </w:rPr>
              <w:t>设计数量：轨道触摸屏，适合单人操作，框架采用三级目录结构设计，以节点信息呈现，详细介绍文案资料内容。Ui设计画面数量不少于18。</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根据策划理念，针对人才辈出资料内容设定风格，对南头中学90年代前杰出校友介绍。</w:t>
            </w:r>
            <w:r>
              <w:rPr>
                <w:rFonts w:hint="eastAsia"/>
                <w:color w:val="000000"/>
                <w:sz w:val="16"/>
                <w:szCs w:val="16"/>
                <w:highlight w:val="none"/>
              </w:rPr>
              <w:br w:type="textWrapping"/>
            </w:r>
            <w:r>
              <w:rPr>
                <w:rFonts w:hint="eastAsia"/>
                <w:color w:val="000000"/>
                <w:sz w:val="16"/>
                <w:szCs w:val="16"/>
                <w:highlight w:val="none"/>
              </w:rPr>
              <w:t>制作方式：UI设计\剪辑包装</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分辨率：1920*1080</w:t>
            </w:r>
            <w:r>
              <w:rPr>
                <w:rFonts w:hint="eastAsia"/>
                <w:color w:val="000000"/>
                <w:sz w:val="16"/>
                <w:szCs w:val="16"/>
                <w:highlight w:val="none"/>
              </w:rPr>
              <w:br w:type="textWrapping"/>
            </w:r>
            <w:r>
              <w:rPr>
                <w:rFonts w:hint="eastAsia"/>
                <w:color w:val="000000"/>
                <w:sz w:val="16"/>
                <w:szCs w:val="16"/>
                <w:highlight w:val="none"/>
              </w:rPr>
              <w:t>设计数量：普通触摸屏，适合单人操作，框架采用三级目录结构设计，详细介绍文案资料内容。Ui设计画面数量不少于18，并且预留接口方便后期扩展。</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根据策划理念，针对领军人物资料内容设定风格。</w:t>
            </w:r>
            <w:r>
              <w:rPr>
                <w:rFonts w:hint="eastAsia"/>
                <w:color w:val="000000"/>
                <w:sz w:val="16"/>
                <w:szCs w:val="16"/>
                <w:highlight w:val="none"/>
              </w:rPr>
              <w:br w:type="textWrapping"/>
            </w:r>
            <w:r>
              <w:rPr>
                <w:rFonts w:hint="eastAsia"/>
                <w:color w:val="000000"/>
                <w:sz w:val="16"/>
                <w:szCs w:val="16"/>
                <w:highlight w:val="none"/>
              </w:rPr>
              <w:t>制作方式：UI设计\剪辑包装</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分辨率：1920*1080</w:t>
            </w:r>
            <w:r>
              <w:rPr>
                <w:rFonts w:hint="eastAsia"/>
                <w:color w:val="000000"/>
                <w:sz w:val="16"/>
                <w:szCs w:val="16"/>
                <w:highlight w:val="none"/>
              </w:rPr>
              <w:br w:type="textWrapping"/>
            </w:r>
            <w:r>
              <w:rPr>
                <w:rFonts w:hint="eastAsia"/>
                <w:color w:val="000000"/>
                <w:sz w:val="16"/>
                <w:szCs w:val="16"/>
                <w:highlight w:val="none"/>
              </w:rPr>
              <w:t>设计数量：普通触摸屏，适合单人操作，框架采用三级目录结构设计，详细介绍文案资料内容。Ui设计画面数量不少于18，并且预留接口方便后期扩展。</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根据策划理念，针对校园新貌资料内容设定风格。</w:t>
            </w:r>
            <w:r>
              <w:rPr>
                <w:rFonts w:hint="eastAsia"/>
                <w:color w:val="000000"/>
                <w:sz w:val="16"/>
                <w:szCs w:val="16"/>
                <w:highlight w:val="none"/>
              </w:rPr>
              <w:br w:type="textWrapping"/>
            </w:r>
            <w:r>
              <w:rPr>
                <w:rFonts w:hint="eastAsia"/>
                <w:color w:val="000000"/>
                <w:sz w:val="16"/>
                <w:szCs w:val="16"/>
                <w:highlight w:val="none"/>
              </w:rPr>
              <w:t>制作方式：UI设计\剪辑包装</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分辨率：1920*1080</w:t>
            </w:r>
            <w:r>
              <w:rPr>
                <w:rFonts w:hint="eastAsia"/>
                <w:color w:val="000000"/>
                <w:sz w:val="16"/>
                <w:szCs w:val="16"/>
                <w:highlight w:val="none"/>
              </w:rPr>
              <w:br w:type="textWrapping"/>
            </w:r>
            <w:r>
              <w:rPr>
                <w:rFonts w:hint="eastAsia"/>
                <w:color w:val="000000"/>
                <w:sz w:val="16"/>
                <w:szCs w:val="16"/>
                <w:highlight w:val="none"/>
              </w:rPr>
              <w:t>设计数量：普通触摸屏，适合单人操作，框架采用三级目录结构设计，结合丰富的南中的美丽校园景色，优良的学习生活环境等资源展示南中新风貌。Ui设计画面数量不少于18。</w:t>
            </w:r>
          </w:p>
        </w:tc>
      </w:tr>
      <w:tr>
        <w:tblPrEx>
          <w:tblLayout w:type="fixed"/>
          <w:tblCellMar>
            <w:top w:w="0" w:type="dxa"/>
            <w:left w:w="0" w:type="dxa"/>
            <w:bottom w:w="0" w:type="dxa"/>
            <w:right w:w="0" w:type="dxa"/>
          </w:tblCellMar>
        </w:tblPrEx>
        <w:trPr>
          <w:trHeight w:val="520" w:hRule="atLeast"/>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3</w:t>
            </w:r>
          </w:p>
        </w:tc>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多媒体软件、系统程序</w:t>
            </w: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多媒体互动程序</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多媒体书院展示系统制作，素材剪辑、UI设计，IOS程序开发。居于Adobe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书院数据库动态数据分析信息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设计并制作书页动画；（约25个动态特效）</w:t>
            </w:r>
            <w:r>
              <w:rPr>
                <w:rFonts w:hint="eastAsia"/>
                <w:color w:val="000000"/>
                <w:sz w:val="16"/>
                <w:szCs w:val="16"/>
                <w:highlight w:val="none"/>
              </w:rPr>
              <w:br w:type="textWrapping"/>
            </w:r>
            <w:r>
              <w:rPr>
                <w:rFonts w:hint="eastAsia"/>
                <w:color w:val="000000"/>
                <w:sz w:val="16"/>
                <w:szCs w:val="16"/>
                <w:highlight w:val="none"/>
              </w:rPr>
              <w:t>设计并制展示内容动画；（约15个动态步骤）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根据ui设计效果开发定制交互软件，通过unity 3d游戏引擎，采用程序设计框架，缩短程序制作时间。采用多点触摸可支持单点或多点控制。</w:t>
            </w:r>
            <w:r>
              <w:rPr>
                <w:rFonts w:hint="eastAsia"/>
                <w:color w:val="000000"/>
                <w:sz w:val="16"/>
                <w:szCs w:val="16"/>
                <w:highlight w:val="none"/>
              </w:rPr>
              <w:br w:type="textWrapping"/>
            </w:r>
            <w:r>
              <w:rPr>
                <w:rFonts w:hint="eastAsia"/>
                <w:color w:val="000000"/>
                <w:sz w:val="16"/>
                <w:szCs w:val="16"/>
                <w:highlight w:val="none"/>
              </w:rPr>
              <w:t>软件满足功能：</w:t>
            </w:r>
            <w:r>
              <w:rPr>
                <w:rFonts w:hint="eastAsia"/>
                <w:color w:val="000000"/>
                <w:sz w:val="16"/>
                <w:szCs w:val="16"/>
                <w:highlight w:val="none"/>
              </w:rPr>
              <w:br w:type="textWrapping"/>
            </w:r>
            <w:r>
              <w:rPr>
                <w:rFonts w:hint="eastAsia"/>
                <w:color w:val="000000"/>
                <w:sz w:val="16"/>
                <w:szCs w:val="16"/>
                <w:highlight w:val="none"/>
              </w:rPr>
              <w:t>1、图文浏览。</w:t>
            </w:r>
            <w:r>
              <w:rPr>
                <w:rFonts w:hint="eastAsia"/>
                <w:color w:val="000000"/>
                <w:sz w:val="16"/>
                <w:szCs w:val="16"/>
                <w:highlight w:val="none"/>
              </w:rPr>
              <w:br w:type="textWrapping"/>
            </w:r>
            <w:r>
              <w:rPr>
                <w:rFonts w:hint="eastAsia"/>
                <w:color w:val="000000"/>
                <w:sz w:val="16"/>
                <w:szCs w:val="16"/>
                <w:highlight w:val="none"/>
              </w:rPr>
              <w:t>2、视频播放控制。</w:t>
            </w:r>
            <w:r>
              <w:rPr>
                <w:rFonts w:hint="eastAsia"/>
                <w:color w:val="000000"/>
                <w:sz w:val="16"/>
                <w:szCs w:val="16"/>
                <w:highlight w:val="none"/>
              </w:rPr>
              <w:br w:type="textWrapping"/>
            </w:r>
            <w:r>
              <w:rPr>
                <w:rFonts w:hint="eastAsia"/>
                <w:color w:val="000000"/>
                <w:sz w:val="16"/>
                <w:szCs w:val="16"/>
                <w:highlight w:val="none"/>
              </w:rPr>
              <w:t>3、接口预留。</w:t>
            </w:r>
            <w:r>
              <w:rPr>
                <w:rFonts w:hint="eastAsia"/>
                <w:color w:val="000000"/>
                <w:sz w:val="16"/>
                <w:szCs w:val="16"/>
                <w:highlight w:val="none"/>
              </w:rPr>
              <w:br w:type="textWrapping"/>
            </w:r>
            <w:r>
              <w:rPr>
                <w:rFonts w:hint="eastAsia"/>
                <w:color w:val="000000"/>
                <w:sz w:val="16"/>
                <w:szCs w:val="16"/>
                <w:highlight w:val="none"/>
              </w:rPr>
              <w:t>提供相关触摸互动软件证书</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多媒体英贤展示系统制作，素材剪辑、UI设计，IOS程序开发。居于Adobe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数据库动态数据分析信息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设计并制作书页动画；（约25个动态特效）</w:t>
            </w:r>
            <w:r>
              <w:rPr>
                <w:rFonts w:hint="eastAsia"/>
                <w:color w:val="000000"/>
                <w:sz w:val="16"/>
                <w:szCs w:val="16"/>
                <w:highlight w:val="none"/>
              </w:rPr>
              <w:br w:type="textWrapping"/>
            </w:r>
            <w:r>
              <w:rPr>
                <w:rFonts w:hint="eastAsia"/>
                <w:color w:val="000000"/>
                <w:sz w:val="16"/>
                <w:szCs w:val="16"/>
                <w:highlight w:val="none"/>
              </w:rPr>
              <w:t>设计并制展示内容动画；（约15个动态步骤）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根据ui设计效果开发定制交互软件，通过unity 3d游戏引擎，采用程序设计框架，缩短程序制作时间。采用多点触摸可支持单点或多点控制。</w:t>
            </w:r>
            <w:r>
              <w:rPr>
                <w:rFonts w:hint="eastAsia"/>
                <w:color w:val="000000"/>
                <w:sz w:val="16"/>
                <w:szCs w:val="16"/>
                <w:highlight w:val="none"/>
              </w:rPr>
              <w:br w:type="textWrapping"/>
            </w:r>
            <w:r>
              <w:rPr>
                <w:rFonts w:hint="eastAsia"/>
                <w:color w:val="000000"/>
                <w:sz w:val="16"/>
                <w:szCs w:val="16"/>
                <w:highlight w:val="none"/>
              </w:rPr>
              <w:t>软件满足功能：</w:t>
            </w:r>
            <w:r>
              <w:rPr>
                <w:rFonts w:hint="eastAsia"/>
                <w:color w:val="000000"/>
                <w:sz w:val="16"/>
                <w:szCs w:val="16"/>
                <w:highlight w:val="none"/>
              </w:rPr>
              <w:br w:type="textWrapping"/>
            </w:r>
            <w:r>
              <w:rPr>
                <w:rFonts w:hint="eastAsia"/>
                <w:color w:val="000000"/>
                <w:sz w:val="16"/>
                <w:szCs w:val="16"/>
                <w:highlight w:val="none"/>
              </w:rPr>
              <w:t>1、图文浏览。</w:t>
            </w:r>
            <w:r>
              <w:rPr>
                <w:rFonts w:hint="eastAsia"/>
                <w:color w:val="000000"/>
                <w:sz w:val="16"/>
                <w:szCs w:val="16"/>
                <w:highlight w:val="none"/>
              </w:rPr>
              <w:br w:type="textWrapping"/>
            </w:r>
            <w:r>
              <w:rPr>
                <w:rFonts w:hint="eastAsia"/>
                <w:color w:val="000000"/>
                <w:sz w:val="16"/>
                <w:szCs w:val="16"/>
                <w:highlight w:val="none"/>
              </w:rPr>
              <w:t>2、视频播放控制。</w:t>
            </w:r>
            <w:r>
              <w:rPr>
                <w:rFonts w:hint="eastAsia"/>
                <w:color w:val="000000"/>
                <w:sz w:val="16"/>
                <w:szCs w:val="16"/>
                <w:highlight w:val="none"/>
              </w:rPr>
              <w:br w:type="textWrapping"/>
            </w:r>
            <w:r>
              <w:rPr>
                <w:rFonts w:hint="eastAsia"/>
                <w:color w:val="000000"/>
                <w:sz w:val="16"/>
                <w:szCs w:val="16"/>
                <w:highlight w:val="none"/>
              </w:rPr>
              <w:t>3、接口预留。</w:t>
            </w:r>
            <w:r>
              <w:rPr>
                <w:rFonts w:hint="eastAsia"/>
                <w:color w:val="000000"/>
                <w:sz w:val="16"/>
                <w:szCs w:val="16"/>
                <w:highlight w:val="none"/>
              </w:rPr>
              <w:br w:type="textWrapping"/>
            </w:r>
            <w:r>
              <w:rPr>
                <w:rFonts w:hint="eastAsia"/>
                <w:color w:val="000000"/>
                <w:sz w:val="16"/>
                <w:szCs w:val="16"/>
                <w:highlight w:val="none"/>
              </w:rPr>
              <w:t>提供相关触摸互动软件证书</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多媒体轨道展示系统制作，素材剪辑、UI设计，IOS程序开发。居于Adobe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名人数据库动态数据分析信息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设计并制作书页动画；（约25个动态特效）</w:t>
            </w:r>
            <w:r>
              <w:rPr>
                <w:rFonts w:hint="eastAsia"/>
                <w:color w:val="000000"/>
                <w:sz w:val="16"/>
                <w:szCs w:val="16"/>
                <w:highlight w:val="none"/>
              </w:rPr>
              <w:br w:type="textWrapping"/>
            </w:r>
            <w:r>
              <w:rPr>
                <w:rFonts w:hint="eastAsia"/>
                <w:color w:val="000000"/>
                <w:sz w:val="16"/>
                <w:szCs w:val="16"/>
                <w:highlight w:val="none"/>
              </w:rPr>
              <w:t>设计并制展示内容动画；（约15个动态步骤）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根据ui设计效果开发定制交互软件，通过unity 3d游戏引擎，采用程序设计框架，缩短程序制作时间。采用多点触摸可支持单点或多点控制。</w:t>
            </w:r>
            <w:r>
              <w:rPr>
                <w:rFonts w:hint="eastAsia"/>
                <w:color w:val="000000"/>
                <w:sz w:val="16"/>
                <w:szCs w:val="16"/>
                <w:highlight w:val="none"/>
              </w:rPr>
              <w:br w:type="textWrapping"/>
            </w:r>
            <w:r>
              <w:rPr>
                <w:rFonts w:hint="eastAsia"/>
                <w:color w:val="000000"/>
                <w:sz w:val="16"/>
                <w:szCs w:val="16"/>
                <w:highlight w:val="none"/>
              </w:rPr>
              <w:t>软件满足功能：</w:t>
            </w:r>
            <w:r>
              <w:rPr>
                <w:rFonts w:hint="eastAsia"/>
                <w:color w:val="000000"/>
                <w:sz w:val="16"/>
                <w:szCs w:val="16"/>
                <w:highlight w:val="none"/>
              </w:rPr>
              <w:br w:type="textWrapping"/>
            </w:r>
            <w:r>
              <w:rPr>
                <w:rFonts w:hint="eastAsia"/>
                <w:color w:val="000000"/>
                <w:sz w:val="16"/>
                <w:szCs w:val="16"/>
                <w:highlight w:val="none"/>
              </w:rPr>
              <w:t>1、图文浏览。</w:t>
            </w:r>
            <w:r>
              <w:rPr>
                <w:rFonts w:hint="eastAsia"/>
                <w:color w:val="000000"/>
                <w:sz w:val="16"/>
                <w:szCs w:val="16"/>
                <w:highlight w:val="none"/>
              </w:rPr>
              <w:br w:type="textWrapping"/>
            </w:r>
            <w:r>
              <w:rPr>
                <w:rFonts w:hint="eastAsia"/>
                <w:color w:val="000000"/>
                <w:sz w:val="16"/>
                <w:szCs w:val="16"/>
                <w:highlight w:val="none"/>
              </w:rPr>
              <w:t>2、视频播放控制。</w:t>
            </w:r>
            <w:r>
              <w:rPr>
                <w:rFonts w:hint="eastAsia"/>
                <w:color w:val="000000"/>
                <w:sz w:val="16"/>
                <w:szCs w:val="16"/>
                <w:highlight w:val="none"/>
              </w:rPr>
              <w:br w:type="textWrapping"/>
            </w:r>
            <w:r>
              <w:rPr>
                <w:rFonts w:hint="eastAsia"/>
                <w:color w:val="000000"/>
                <w:sz w:val="16"/>
                <w:szCs w:val="16"/>
                <w:highlight w:val="none"/>
              </w:rPr>
              <w:t>3、接口预留。</w:t>
            </w:r>
            <w:r>
              <w:rPr>
                <w:rFonts w:hint="eastAsia"/>
                <w:color w:val="000000"/>
                <w:sz w:val="16"/>
                <w:szCs w:val="16"/>
                <w:highlight w:val="none"/>
              </w:rPr>
              <w:br w:type="textWrapping"/>
            </w:r>
            <w:r>
              <w:rPr>
                <w:rFonts w:hint="eastAsia"/>
                <w:color w:val="000000"/>
                <w:sz w:val="16"/>
                <w:szCs w:val="16"/>
                <w:highlight w:val="none"/>
              </w:rPr>
              <w:t>提供相关触摸互动软件证书</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多媒体展示系统制作，素材剪辑、UI设计，IOS程序开发。居于Adobe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数据库动态数据分析信息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设计并制作书页动画；（约25个动态特效）</w:t>
            </w:r>
            <w:r>
              <w:rPr>
                <w:rFonts w:hint="eastAsia"/>
                <w:color w:val="000000"/>
                <w:sz w:val="16"/>
                <w:szCs w:val="16"/>
                <w:highlight w:val="none"/>
              </w:rPr>
              <w:br w:type="textWrapping"/>
            </w:r>
            <w:r>
              <w:rPr>
                <w:rFonts w:hint="eastAsia"/>
                <w:color w:val="000000"/>
                <w:sz w:val="16"/>
                <w:szCs w:val="16"/>
                <w:highlight w:val="none"/>
              </w:rPr>
              <w:t>设计并制展示内容动画；（约15个动态步骤）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根据ui设计效果开发定制交互软件，通过unity 3d游戏引擎，采用程序设计框架，缩短程序制作时间。采用多点触摸可支持单点或多点控制。</w:t>
            </w:r>
            <w:r>
              <w:rPr>
                <w:rFonts w:hint="eastAsia"/>
                <w:color w:val="000000"/>
                <w:sz w:val="16"/>
                <w:szCs w:val="16"/>
                <w:highlight w:val="none"/>
              </w:rPr>
              <w:br w:type="textWrapping"/>
            </w:r>
            <w:r>
              <w:rPr>
                <w:rFonts w:hint="eastAsia"/>
                <w:color w:val="000000"/>
                <w:sz w:val="16"/>
                <w:szCs w:val="16"/>
                <w:highlight w:val="none"/>
              </w:rPr>
              <w:t>软件满足功能：</w:t>
            </w:r>
            <w:r>
              <w:rPr>
                <w:rFonts w:hint="eastAsia"/>
                <w:color w:val="000000"/>
                <w:sz w:val="16"/>
                <w:szCs w:val="16"/>
                <w:highlight w:val="none"/>
              </w:rPr>
              <w:br w:type="textWrapping"/>
            </w:r>
            <w:r>
              <w:rPr>
                <w:rFonts w:hint="eastAsia"/>
                <w:color w:val="000000"/>
                <w:sz w:val="16"/>
                <w:szCs w:val="16"/>
                <w:highlight w:val="none"/>
              </w:rPr>
              <w:t>1、图文浏览。</w:t>
            </w:r>
            <w:r>
              <w:rPr>
                <w:rFonts w:hint="eastAsia"/>
                <w:color w:val="000000"/>
                <w:sz w:val="16"/>
                <w:szCs w:val="16"/>
                <w:highlight w:val="none"/>
              </w:rPr>
              <w:br w:type="textWrapping"/>
            </w:r>
            <w:r>
              <w:rPr>
                <w:rFonts w:hint="eastAsia"/>
                <w:color w:val="000000"/>
                <w:sz w:val="16"/>
                <w:szCs w:val="16"/>
                <w:highlight w:val="none"/>
              </w:rPr>
              <w:t>2、视频播放控制。</w:t>
            </w:r>
            <w:r>
              <w:rPr>
                <w:rFonts w:hint="eastAsia"/>
                <w:color w:val="000000"/>
                <w:sz w:val="16"/>
                <w:szCs w:val="16"/>
                <w:highlight w:val="none"/>
              </w:rPr>
              <w:br w:type="textWrapping"/>
            </w:r>
            <w:r>
              <w:rPr>
                <w:rFonts w:hint="eastAsia"/>
                <w:color w:val="000000"/>
                <w:sz w:val="16"/>
                <w:szCs w:val="16"/>
                <w:highlight w:val="none"/>
              </w:rPr>
              <w:t>3、接口预留。</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多媒体展示系统制作，素材剪辑、UI设计，IOS程序开发。居于Adobe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数据库动态数据分析信息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设计并制作书页动画；（约25个动态特效）</w:t>
            </w:r>
            <w:r>
              <w:rPr>
                <w:rFonts w:hint="eastAsia"/>
                <w:color w:val="000000"/>
                <w:sz w:val="16"/>
                <w:szCs w:val="16"/>
                <w:highlight w:val="none"/>
              </w:rPr>
              <w:br w:type="textWrapping"/>
            </w:r>
            <w:r>
              <w:rPr>
                <w:rFonts w:hint="eastAsia"/>
                <w:color w:val="000000"/>
                <w:sz w:val="16"/>
                <w:szCs w:val="16"/>
                <w:highlight w:val="none"/>
              </w:rPr>
              <w:t>设计并制展示内容动画；（约15个动态步骤）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根据ui设计效果开发定制交互软件，通过unity 3d游戏引擎，采用程序设计框架，缩短程序制作时间。采用多点触摸可支持单点或多点控制。</w:t>
            </w:r>
            <w:r>
              <w:rPr>
                <w:rFonts w:hint="eastAsia"/>
                <w:color w:val="000000"/>
                <w:sz w:val="16"/>
                <w:szCs w:val="16"/>
                <w:highlight w:val="none"/>
              </w:rPr>
              <w:br w:type="textWrapping"/>
            </w:r>
            <w:r>
              <w:rPr>
                <w:rFonts w:hint="eastAsia"/>
                <w:color w:val="000000"/>
                <w:sz w:val="16"/>
                <w:szCs w:val="16"/>
                <w:highlight w:val="none"/>
              </w:rPr>
              <w:t>软件满足功能：</w:t>
            </w:r>
            <w:r>
              <w:rPr>
                <w:rFonts w:hint="eastAsia"/>
                <w:color w:val="000000"/>
                <w:sz w:val="16"/>
                <w:szCs w:val="16"/>
                <w:highlight w:val="none"/>
              </w:rPr>
              <w:br w:type="textWrapping"/>
            </w:r>
            <w:r>
              <w:rPr>
                <w:rFonts w:hint="eastAsia"/>
                <w:color w:val="000000"/>
                <w:sz w:val="16"/>
                <w:szCs w:val="16"/>
                <w:highlight w:val="none"/>
              </w:rPr>
              <w:t>1、图文浏览。</w:t>
            </w:r>
            <w:r>
              <w:rPr>
                <w:rFonts w:hint="eastAsia"/>
                <w:color w:val="000000"/>
                <w:sz w:val="16"/>
                <w:szCs w:val="16"/>
                <w:highlight w:val="none"/>
              </w:rPr>
              <w:br w:type="textWrapping"/>
            </w:r>
            <w:r>
              <w:rPr>
                <w:rFonts w:hint="eastAsia"/>
                <w:color w:val="000000"/>
                <w:sz w:val="16"/>
                <w:szCs w:val="16"/>
                <w:highlight w:val="none"/>
              </w:rPr>
              <w:t>2、视频播放控制。</w:t>
            </w:r>
            <w:r>
              <w:rPr>
                <w:rFonts w:hint="eastAsia"/>
                <w:color w:val="000000"/>
                <w:sz w:val="16"/>
                <w:szCs w:val="16"/>
                <w:highlight w:val="none"/>
              </w:rPr>
              <w:br w:type="textWrapping"/>
            </w:r>
            <w:r>
              <w:rPr>
                <w:rFonts w:hint="eastAsia"/>
                <w:color w:val="000000"/>
                <w:sz w:val="16"/>
                <w:szCs w:val="16"/>
                <w:highlight w:val="none"/>
              </w:rPr>
              <w:t>3、接口预留。</w:t>
            </w:r>
            <w:r>
              <w:rPr>
                <w:rFonts w:hint="eastAsia"/>
                <w:color w:val="000000"/>
                <w:sz w:val="16"/>
                <w:szCs w:val="16"/>
                <w:highlight w:val="none"/>
              </w:rPr>
              <w:br w:type="textWrapping"/>
            </w:r>
            <w:r>
              <w:rPr>
                <w:rFonts w:hint="eastAsia"/>
                <w:color w:val="000000"/>
                <w:sz w:val="16"/>
                <w:szCs w:val="16"/>
                <w:highlight w:val="none"/>
              </w:rPr>
              <w:t>提供相关触摸互动软件证书</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多媒体展示系统制作，素材剪辑、UI设计，IOS程序开发。居于Adobe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数据库动态数据分析信息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设计并制作书页动画；（约25个动态特效）</w:t>
            </w:r>
            <w:r>
              <w:rPr>
                <w:rFonts w:hint="eastAsia"/>
                <w:color w:val="000000"/>
                <w:sz w:val="16"/>
                <w:szCs w:val="16"/>
                <w:highlight w:val="none"/>
              </w:rPr>
              <w:br w:type="textWrapping"/>
            </w:r>
            <w:r>
              <w:rPr>
                <w:rFonts w:hint="eastAsia"/>
                <w:color w:val="000000"/>
                <w:sz w:val="16"/>
                <w:szCs w:val="16"/>
                <w:highlight w:val="none"/>
              </w:rPr>
              <w:t>设计并制展示内容动画；（约15个动态步骤）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根据ui设计效果开发定制交互软件，通过unity 3d游戏引擎，采用程序设计框架，缩短程序制作时间。采用多点触摸可支持单点或多点控制。</w:t>
            </w:r>
            <w:r>
              <w:rPr>
                <w:rFonts w:hint="eastAsia"/>
                <w:color w:val="000000"/>
                <w:sz w:val="16"/>
                <w:szCs w:val="16"/>
                <w:highlight w:val="none"/>
              </w:rPr>
              <w:br w:type="textWrapping"/>
            </w:r>
            <w:r>
              <w:rPr>
                <w:rFonts w:hint="eastAsia"/>
                <w:color w:val="000000"/>
                <w:sz w:val="16"/>
                <w:szCs w:val="16"/>
                <w:highlight w:val="none"/>
              </w:rPr>
              <w:t>软件满足功能：</w:t>
            </w:r>
            <w:r>
              <w:rPr>
                <w:rFonts w:hint="eastAsia"/>
                <w:color w:val="000000"/>
                <w:sz w:val="16"/>
                <w:szCs w:val="16"/>
                <w:highlight w:val="none"/>
              </w:rPr>
              <w:br w:type="textWrapping"/>
            </w:r>
            <w:r>
              <w:rPr>
                <w:rFonts w:hint="eastAsia"/>
                <w:color w:val="000000"/>
                <w:sz w:val="16"/>
                <w:szCs w:val="16"/>
                <w:highlight w:val="none"/>
              </w:rPr>
              <w:t>1、图文浏览。</w:t>
            </w:r>
            <w:r>
              <w:rPr>
                <w:rFonts w:hint="eastAsia"/>
                <w:color w:val="000000"/>
                <w:sz w:val="16"/>
                <w:szCs w:val="16"/>
                <w:highlight w:val="none"/>
              </w:rPr>
              <w:br w:type="textWrapping"/>
            </w:r>
            <w:r>
              <w:rPr>
                <w:rFonts w:hint="eastAsia"/>
                <w:color w:val="000000"/>
                <w:sz w:val="16"/>
                <w:szCs w:val="16"/>
                <w:highlight w:val="none"/>
              </w:rPr>
              <w:t>2、视频播放控制。</w:t>
            </w:r>
            <w:r>
              <w:rPr>
                <w:rFonts w:hint="eastAsia"/>
                <w:color w:val="000000"/>
                <w:sz w:val="16"/>
                <w:szCs w:val="16"/>
                <w:highlight w:val="none"/>
              </w:rPr>
              <w:br w:type="textWrapping"/>
            </w:r>
            <w:r>
              <w:rPr>
                <w:rFonts w:hint="eastAsia"/>
                <w:color w:val="000000"/>
                <w:sz w:val="16"/>
                <w:szCs w:val="16"/>
                <w:highlight w:val="none"/>
              </w:rPr>
              <w:t>3、接口预留。</w:t>
            </w:r>
            <w:r>
              <w:rPr>
                <w:rFonts w:hint="eastAsia"/>
                <w:color w:val="000000"/>
                <w:sz w:val="16"/>
                <w:szCs w:val="16"/>
                <w:highlight w:val="none"/>
              </w:rPr>
              <w:br w:type="textWrapping"/>
            </w:r>
            <w:r>
              <w:rPr>
                <w:rFonts w:hint="eastAsia"/>
                <w:color w:val="000000"/>
                <w:sz w:val="16"/>
                <w:szCs w:val="16"/>
                <w:highlight w:val="none"/>
              </w:rPr>
              <w:t>提供相关触摸互动软件证书</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感应控制系统开发及底层通讯协议</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定制开发感应装置硬件配套底层软件；支持网络通讯协议、RS232\485通讯协议；</w:t>
            </w:r>
            <w:r>
              <w:rPr>
                <w:rFonts w:hint="eastAsia"/>
                <w:color w:val="000000"/>
                <w:sz w:val="16"/>
                <w:szCs w:val="16"/>
                <w:highlight w:val="none"/>
              </w:rPr>
              <w:br w:type="textWrapping"/>
            </w:r>
            <w:r>
              <w:rPr>
                <w:rFonts w:hint="eastAsia"/>
                <w:color w:val="000000"/>
                <w:sz w:val="16"/>
                <w:szCs w:val="16"/>
                <w:highlight w:val="none"/>
              </w:rPr>
              <w:t>控制电机运动方向，并反馈屏幕物理地址。</w:t>
            </w:r>
            <w:r>
              <w:rPr>
                <w:rFonts w:hint="eastAsia"/>
                <w:color w:val="000000"/>
                <w:sz w:val="16"/>
                <w:szCs w:val="16"/>
                <w:highlight w:val="none"/>
              </w:rPr>
              <w:br w:type="textWrapping"/>
            </w:r>
            <w:r>
              <w:rPr>
                <w:rFonts w:hint="eastAsia"/>
                <w:color w:val="000000"/>
                <w:sz w:val="16"/>
                <w:szCs w:val="16"/>
                <w:highlight w:val="none"/>
              </w:rPr>
              <w:t>提供相关感应交互系统软件证书</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滑轨系统</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定制开发滑轨装置：根据设计效果图及现场装饰环境条件，设计机械结构原理图、零部件高精度加工图；生产、加工零部件及转道；含滑轨移动装置及隐线移动装置；</w:t>
            </w:r>
            <w:r>
              <w:rPr>
                <w:rFonts w:hint="eastAsia"/>
                <w:color w:val="000000"/>
                <w:sz w:val="16"/>
                <w:szCs w:val="16"/>
                <w:highlight w:val="none"/>
              </w:rPr>
              <w:br w:type="textWrapping"/>
            </w:r>
            <w:r>
              <w:rPr>
                <w:rFonts w:hint="eastAsia"/>
                <w:color w:val="000000"/>
                <w:sz w:val="16"/>
                <w:szCs w:val="16"/>
                <w:highlight w:val="none"/>
              </w:rPr>
              <w:t>定制开发滑轨装置：根据设计效果图及现场装饰环境条件，设计机械结构原理图、零部件高精度加工图；生产、加工零部件及转道；含滑轨移动装置及隐线移动装置；</w:t>
            </w:r>
            <w:r>
              <w:rPr>
                <w:rFonts w:hint="eastAsia"/>
                <w:color w:val="000000"/>
                <w:sz w:val="16"/>
                <w:szCs w:val="16"/>
                <w:highlight w:val="none"/>
              </w:rPr>
              <w:br w:type="textWrapping"/>
            </w:r>
            <w:r>
              <w:rPr>
                <w:rFonts w:hint="eastAsia"/>
                <w:color w:val="000000"/>
                <w:sz w:val="16"/>
                <w:szCs w:val="16"/>
                <w:highlight w:val="none"/>
              </w:rPr>
              <w:t>定制上位机展示系统，获取滑轨移动的位置，提供对应的互动效果。</w:t>
            </w:r>
            <w:r>
              <w:rPr>
                <w:rFonts w:hint="eastAsia"/>
                <w:color w:val="000000"/>
                <w:sz w:val="16"/>
                <w:szCs w:val="16"/>
                <w:highlight w:val="none"/>
              </w:rPr>
              <w:br w:type="textWrapping"/>
            </w:r>
            <w:r>
              <w:rPr>
                <w:rFonts w:hint="eastAsia"/>
                <w:color w:val="000000"/>
                <w:sz w:val="16"/>
                <w:szCs w:val="16"/>
                <w:highlight w:val="none"/>
              </w:rPr>
              <w:t>支持二级菜单查询系统，可以在滑动的时候点击触摸屏按钮进行对应内容查询。</w:t>
            </w:r>
            <w:r>
              <w:rPr>
                <w:rFonts w:hint="eastAsia"/>
                <w:color w:val="000000"/>
                <w:sz w:val="16"/>
                <w:szCs w:val="16"/>
                <w:highlight w:val="none"/>
              </w:rPr>
              <w:br w:type="textWrapping"/>
            </w:r>
            <w:r>
              <w:rPr>
                <w:rFonts w:hint="eastAsia"/>
                <w:color w:val="000000"/>
                <w:sz w:val="16"/>
                <w:szCs w:val="16"/>
                <w:highlight w:val="none"/>
              </w:rPr>
              <w:t>UI界面设计、NGUI逻辑开发、UNITY场景程序开发、交互系统内容搭建、交互功能开发、程序优化封装发布（PC）</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智能中控系统</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展示厅智能中控系统开发；前端可运行于IOS及Andrio系统上；后端运行于windows 10操作系统中；前端及后端都支持控制整个运行系统：功能:</w:t>
            </w:r>
            <w:r>
              <w:rPr>
                <w:rFonts w:hint="eastAsia"/>
                <w:color w:val="000000"/>
                <w:sz w:val="16"/>
                <w:szCs w:val="16"/>
                <w:highlight w:val="none"/>
              </w:rPr>
              <w:br w:type="textWrapping"/>
            </w:r>
            <w:r>
              <w:rPr>
                <w:rFonts w:hint="eastAsia"/>
                <w:color w:val="000000"/>
                <w:sz w:val="16"/>
                <w:szCs w:val="16"/>
                <w:highlight w:val="none"/>
              </w:rPr>
              <w:t>1.设备开启与关闭管理;</w:t>
            </w:r>
            <w:r>
              <w:rPr>
                <w:rFonts w:hint="eastAsia"/>
                <w:color w:val="000000"/>
                <w:sz w:val="16"/>
                <w:szCs w:val="16"/>
                <w:highlight w:val="none"/>
              </w:rPr>
              <w:br w:type="textWrapping"/>
            </w:r>
            <w:r>
              <w:rPr>
                <w:rFonts w:hint="eastAsia"/>
                <w:color w:val="000000"/>
                <w:sz w:val="16"/>
                <w:szCs w:val="16"/>
                <w:highlight w:val="none"/>
              </w:rPr>
              <w:t>2.影视内容播放、暂停、停止、音量控制；</w:t>
            </w:r>
            <w:r>
              <w:rPr>
                <w:rFonts w:hint="eastAsia"/>
                <w:color w:val="000000"/>
                <w:sz w:val="16"/>
                <w:szCs w:val="16"/>
                <w:highlight w:val="none"/>
              </w:rPr>
              <w:br w:type="textWrapping"/>
            </w:r>
            <w:r>
              <w:rPr>
                <w:rFonts w:hint="eastAsia"/>
                <w:color w:val="000000"/>
                <w:sz w:val="16"/>
                <w:szCs w:val="16"/>
                <w:highlight w:val="none"/>
              </w:rPr>
              <w:t>3.支持开馆及闭馆模式设置；</w:t>
            </w:r>
            <w:r>
              <w:rPr>
                <w:rFonts w:hint="eastAsia"/>
                <w:color w:val="000000"/>
                <w:sz w:val="16"/>
                <w:szCs w:val="16"/>
                <w:highlight w:val="none"/>
              </w:rPr>
              <w:br w:type="textWrapping"/>
            </w:r>
            <w:r>
              <w:rPr>
                <w:rFonts w:hint="eastAsia"/>
                <w:color w:val="000000"/>
                <w:sz w:val="16"/>
                <w:szCs w:val="16"/>
                <w:highlight w:val="none"/>
              </w:rPr>
              <w:t>4.支持二次接口开放；</w:t>
            </w:r>
            <w:r>
              <w:rPr>
                <w:rFonts w:hint="eastAsia"/>
                <w:color w:val="000000"/>
                <w:sz w:val="16"/>
                <w:szCs w:val="16"/>
                <w:highlight w:val="none"/>
              </w:rPr>
              <w:br w:type="textWrapping"/>
            </w:r>
            <w:r>
              <w:rPr>
                <w:rFonts w:hint="eastAsia"/>
                <w:color w:val="000000"/>
                <w:sz w:val="16"/>
                <w:szCs w:val="16"/>
                <w:highlight w:val="none"/>
              </w:rPr>
              <w:t>5.支持多操作端控制；</w:t>
            </w:r>
            <w:r>
              <w:rPr>
                <w:rFonts w:hint="eastAsia"/>
                <w:color w:val="000000"/>
                <w:sz w:val="16"/>
                <w:szCs w:val="16"/>
                <w:highlight w:val="none"/>
              </w:rPr>
              <w:br w:type="textWrapping"/>
            </w:r>
            <w:r>
              <w:rPr>
                <w:rFonts w:hint="eastAsia"/>
                <w:color w:val="000000"/>
                <w:sz w:val="16"/>
                <w:szCs w:val="16"/>
                <w:highlight w:val="none"/>
              </w:rPr>
              <w:t>提供相关中控系统证书</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中控操作端软件</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根据展示厅控制展项及整体控制需求，设计中控UI界面，软件编程，协议定义，指令分发控制；支持二次接口开放；</w:t>
            </w:r>
          </w:p>
        </w:tc>
      </w:tr>
      <w:tr>
        <w:tblPrEx>
          <w:tblLayout w:type="fixed"/>
          <w:tblCellMar>
            <w:top w:w="0" w:type="dxa"/>
            <w:left w:w="0" w:type="dxa"/>
            <w:bottom w:w="0" w:type="dxa"/>
            <w:right w:w="0" w:type="dxa"/>
          </w:tblCellMar>
        </w:tblPrEx>
        <w:trPr>
          <w:trHeight w:val="520" w:hRule="atLeast"/>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4</w:t>
            </w:r>
          </w:p>
        </w:tc>
        <w:tc>
          <w:tcPr>
            <w:tcW w:w="7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影视内容</w:t>
            </w: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影视制作</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前期制作，分镜头剧本创作、场景设计</w:t>
            </w:r>
            <w:r>
              <w:rPr>
                <w:rFonts w:hint="eastAsia"/>
                <w:color w:val="000000"/>
                <w:sz w:val="16"/>
                <w:szCs w:val="16"/>
                <w:highlight w:val="none"/>
              </w:rPr>
              <w:br w:type="textWrapping"/>
            </w:r>
            <w:r>
              <w:rPr>
                <w:rFonts w:hint="eastAsia"/>
                <w:color w:val="000000"/>
                <w:sz w:val="16"/>
                <w:szCs w:val="16"/>
                <w:highlight w:val="none"/>
              </w:rPr>
              <w:t>根据前期设计，通过MAX或者maya、AE等软件制作出动画片段，制作流程为建模、材质、灯光、动画、摄影机控制、渲染等，后期合成影视类三维动画的后期合成，将之前所做的动画片段、声音等素材，按照分镜头剧本的设计，通过非线性编辑软件的编辑，最终生成动画影视文件。max渲染多通道进行合并叠加，需要颜色通道、OCC深色通道、景深通道</w:t>
            </w:r>
            <w:r>
              <w:rPr>
                <w:rFonts w:hint="eastAsia"/>
                <w:color w:val="000000"/>
                <w:sz w:val="16"/>
                <w:szCs w:val="16"/>
                <w:highlight w:val="none"/>
              </w:rPr>
              <w:br w:type="textWrapping"/>
            </w:r>
            <w:r>
              <w:rPr>
                <w:rFonts w:hint="eastAsia"/>
                <w:color w:val="000000"/>
                <w:sz w:val="16"/>
                <w:szCs w:val="16"/>
                <w:highlight w:val="none"/>
              </w:rPr>
              <w:t>多媒体展示三维模型制作，素材剪辑、UI设计，IOS程序开发。居于Adobe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全息GIS动态数据分析信息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设计并制作开场动画；（约40个动态特效）</w:t>
            </w:r>
            <w:r>
              <w:rPr>
                <w:rFonts w:hint="eastAsia"/>
                <w:color w:val="000000"/>
                <w:sz w:val="16"/>
                <w:szCs w:val="16"/>
                <w:highlight w:val="none"/>
              </w:rPr>
              <w:br w:type="textWrapping"/>
            </w:r>
            <w:r>
              <w:rPr>
                <w:rFonts w:hint="eastAsia"/>
                <w:color w:val="000000"/>
                <w:sz w:val="16"/>
                <w:szCs w:val="16"/>
                <w:highlight w:val="none"/>
              </w:rPr>
              <w:t>设计并制展示内容动画；（约35个动态步骤）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分辨率：1920*1080</w:t>
            </w:r>
            <w:r>
              <w:rPr>
                <w:rFonts w:hint="eastAsia"/>
                <w:color w:val="000000"/>
                <w:sz w:val="16"/>
                <w:szCs w:val="16"/>
                <w:highlight w:val="none"/>
              </w:rPr>
              <w:br w:type="textWrapping"/>
            </w:r>
            <w:r>
              <w:rPr>
                <w:rFonts w:hint="eastAsia"/>
                <w:color w:val="000000"/>
                <w:sz w:val="16"/>
                <w:szCs w:val="16"/>
                <w:highlight w:val="none"/>
              </w:rPr>
              <w:t>制作数量：60秒</w:t>
            </w:r>
          </w:p>
        </w:tc>
      </w:tr>
      <w:tr>
        <w:tblPrEx>
          <w:tblLayout w:type="fixed"/>
          <w:tblCellMar>
            <w:top w:w="0" w:type="dxa"/>
            <w:left w:w="0" w:type="dxa"/>
            <w:bottom w:w="0" w:type="dxa"/>
            <w:right w:w="0" w:type="dxa"/>
          </w:tblCellMar>
        </w:tblPrEx>
        <w:trPr>
          <w:trHeight w:val="520" w:hRule="atLeast"/>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b/>
                <w:color w:val="000000"/>
                <w:sz w:val="16"/>
                <w:szCs w:val="16"/>
                <w:highlight w:val="none"/>
              </w:rPr>
            </w:pP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前期制作，分镜头剧本创作、场景设计</w:t>
            </w:r>
            <w:r>
              <w:rPr>
                <w:rFonts w:hint="eastAsia"/>
                <w:color w:val="000000"/>
                <w:sz w:val="16"/>
                <w:szCs w:val="16"/>
                <w:highlight w:val="none"/>
              </w:rPr>
              <w:br w:type="textWrapping"/>
            </w:r>
            <w:r>
              <w:rPr>
                <w:rFonts w:hint="eastAsia"/>
                <w:color w:val="000000"/>
                <w:sz w:val="16"/>
                <w:szCs w:val="16"/>
                <w:highlight w:val="none"/>
              </w:rPr>
              <w:t>根据前期设计，通过MAX或者maya、AE等软件制作出动画片段，制作流程为建模、材质、灯光、动画、摄影机控制、渲染等，后期合成影视类三维动画的后期合成，将之前所做的动画片段、声音等素材，按照分镜头剧本的设计，通过非线性编辑软件的编辑，最终生成动画影视文件。max渲染多通道进行合并叠加，需要颜色通道、OCC深色通道、景深通道</w:t>
            </w:r>
            <w:r>
              <w:rPr>
                <w:rFonts w:hint="eastAsia"/>
                <w:color w:val="000000"/>
                <w:sz w:val="16"/>
                <w:szCs w:val="16"/>
                <w:highlight w:val="none"/>
              </w:rPr>
              <w:br w:type="textWrapping"/>
            </w:r>
            <w:r>
              <w:rPr>
                <w:rFonts w:hint="eastAsia"/>
                <w:color w:val="000000"/>
                <w:sz w:val="16"/>
                <w:szCs w:val="16"/>
                <w:highlight w:val="none"/>
              </w:rPr>
              <w:t>多媒体展示三维模型制作，素材剪辑、UI设计，IOS程序开发。居于Adobe AIR 20+平台开发，语言和工具：ActionScript 3.0Adobe Flash Professional CC</w:t>
            </w:r>
            <w:r>
              <w:rPr>
                <w:rFonts w:hint="eastAsia"/>
                <w:color w:val="000000"/>
                <w:sz w:val="16"/>
                <w:szCs w:val="16"/>
                <w:highlight w:val="none"/>
              </w:rPr>
              <w:br w:type="textWrapping"/>
            </w:r>
            <w:r>
              <w:rPr>
                <w:rFonts w:hint="eastAsia"/>
                <w:color w:val="000000"/>
                <w:sz w:val="16"/>
                <w:szCs w:val="16"/>
                <w:highlight w:val="none"/>
              </w:rPr>
              <w:t>FlashDevelop。</w:t>
            </w:r>
            <w:r>
              <w:rPr>
                <w:rFonts w:hint="eastAsia"/>
                <w:color w:val="000000"/>
                <w:sz w:val="16"/>
                <w:szCs w:val="16"/>
                <w:highlight w:val="none"/>
              </w:rPr>
              <w:br w:type="textWrapping"/>
            </w:r>
            <w:r>
              <w:rPr>
                <w:rFonts w:hint="eastAsia"/>
                <w:color w:val="000000"/>
                <w:sz w:val="16"/>
                <w:szCs w:val="16"/>
                <w:highlight w:val="none"/>
              </w:rPr>
              <w:t>全息GIS动态数据分析信息</w:t>
            </w:r>
            <w:r>
              <w:rPr>
                <w:rFonts w:hint="eastAsia"/>
                <w:color w:val="000000"/>
                <w:sz w:val="16"/>
                <w:szCs w:val="16"/>
                <w:highlight w:val="none"/>
              </w:rPr>
              <w:br w:type="textWrapping"/>
            </w:r>
            <w:r>
              <w:rPr>
                <w:rFonts w:hint="eastAsia"/>
                <w:color w:val="000000"/>
                <w:sz w:val="16"/>
                <w:szCs w:val="16"/>
                <w:highlight w:val="none"/>
              </w:rPr>
              <w:t>Microsoft .net Framework C#Microsoft Visual Studio，</w:t>
            </w:r>
            <w:r>
              <w:rPr>
                <w:rFonts w:hint="eastAsia"/>
                <w:color w:val="000000"/>
                <w:sz w:val="16"/>
                <w:szCs w:val="16"/>
                <w:highlight w:val="none"/>
              </w:rPr>
              <w:br w:type="textWrapping"/>
            </w:r>
            <w:r>
              <w:rPr>
                <w:rFonts w:hint="eastAsia"/>
                <w:color w:val="000000"/>
                <w:sz w:val="16"/>
                <w:szCs w:val="16"/>
                <w:highlight w:val="none"/>
              </w:rPr>
              <w:t>设计并制作开场动画；（约40个动态特效）</w:t>
            </w:r>
            <w:r>
              <w:rPr>
                <w:rFonts w:hint="eastAsia"/>
                <w:color w:val="000000"/>
                <w:sz w:val="16"/>
                <w:szCs w:val="16"/>
                <w:highlight w:val="none"/>
              </w:rPr>
              <w:br w:type="textWrapping"/>
            </w:r>
            <w:r>
              <w:rPr>
                <w:rFonts w:hint="eastAsia"/>
                <w:color w:val="000000"/>
                <w:sz w:val="16"/>
                <w:szCs w:val="16"/>
                <w:highlight w:val="none"/>
              </w:rPr>
              <w:t>设计并制展示内容动画；（约35个动态步骤）</w:t>
            </w:r>
            <w:r>
              <w:rPr>
                <w:rFonts w:hint="eastAsia"/>
                <w:color w:val="000000"/>
                <w:sz w:val="16"/>
                <w:szCs w:val="16"/>
                <w:highlight w:val="none"/>
              </w:rPr>
              <w:br w:type="textWrapping"/>
            </w:r>
            <w:r>
              <w:rPr>
                <w:rFonts w:hint="eastAsia"/>
                <w:color w:val="000000"/>
                <w:sz w:val="16"/>
                <w:szCs w:val="16"/>
                <w:highlight w:val="none"/>
              </w:rPr>
              <w:t>通过特效的方式展示透明交互动态特效；</w:t>
            </w:r>
            <w:r>
              <w:rPr>
                <w:rFonts w:hint="eastAsia"/>
                <w:color w:val="000000"/>
                <w:sz w:val="16"/>
                <w:szCs w:val="16"/>
                <w:highlight w:val="none"/>
              </w:rPr>
              <w:br w:type="textWrapping"/>
            </w:r>
            <w:r>
              <w:rPr>
                <w:rFonts w:hint="eastAsia"/>
                <w:color w:val="000000"/>
                <w:sz w:val="16"/>
                <w:szCs w:val="16"/>
                <w:highlight w:val="none"/>
              </w:rPr>
              <w:t>交互功能开发（约15个交互点）</w:t>
            </w:r>
            <w:r>
              <w:rPr>
                <w:rFonts w:hint="eastAsia"/>
                <w:color w:val="000000"/>
                <w:sz w:val="16"/>
                <w:szCs w:val="16"/>
                <w:highlight w:val="none"/>
              </w:rPr>
              <w:br w:type="textWrapping"/>
            </w:r>
            <w:r>
              <w:rPr>
                <w:rFonts w:hint="eastAsia"/>
                <w:color w:val="000000"/>
                <w:sz w:val="16"/>
                <w:szCs w:val="16"/>
                <w:highlight w:val="none"/>
              </w:rPr>
              <w:t>制作内容：依据方案执行</w:t>
            </w:r>
            <w:r>
              <w:rPr>
                <w:rFonts w:hint="eastAsia"/>
                <w:color w:val="000000"/>
                <w:sz w:val="16"/>
                <w:szCs w:val="16"/>
                <w:highlight w:val="none"/>
              </w:rPr>
              <w:br w:type="textWrapping"/>
            </w:r>
            <w:r>
              <w:rPr>
                <w:rFonts w:hint="eastAsia"/>
                <w:color w:val="000000"/>
                <w:sz w:val="16"/>
                <w:szCs w:val="16"/>
                <w:highlight w:val="none"/>
              </w:rPr>
              <w:t>分辨率：1920*1080</w:t>
            </w:r>
            <w:r>
              <w:rPr>
                <w:rFonts w:hint="eastAsia"/>
                <w:color w:val="000000"/>
                <w:sz w:val="16"/>
                <w:szCs w:val="16"/>
                <w:highlight w:val="none"/>
              </w:rPr>
              <w:br w:type="textWrapping"/>
            </w:r>
            <w:r>
              <w:rPr>
                <w:rFonts w:hint="eastAsia"/>
                <w:color w:val="000000"/>
                <w:sz w:val="16"/>
                <w:szCs w:val="16"/>
                <w:highlight w:val="none"/>
              </w:rPr>
              <w:t>制作数量：90秒</w:t>
            </w:r>
          </w:p>
        </w:tc>
      </w:tr>
      <w:tr>
        <w:tblPrEx>
          <w:tblLayout w:type="fixed"/>
          <w:tblCellMar>
            <w:top w:w="0" w:type="dxa"/>
            <w:left w:w="0" w:type="dxa"/>
            <w:bottom w:w="0" w:type="dxa"/>
            <w:right w:w="0" w:type="dxa"/>
          </w:tblCellMar>
        </w:tblPrEx>
        <w:trPr>
          <w:trHeight w:val="520" w:hRule="atLeast"/>
        </w:trPr>
        <w:tc>
          <w:tcPr>
            <w:tcW w:w="464"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5</w:t>
            </w:r>
          </w:p>
        </w:tc>
        <w:tc>
          <w:tcPr>
            <w:tcW w:w="712"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虚拟展馆</w:t>
            </w:r>
          </w:p>
        </w:tc>
        <w:tc>
          <w:tcPr>
            <w:tcW w:w="70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720度全景虚拟展厅</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720度网上展馆制作</w:t>
            </w:r>
            <w:r>
              <w:rPr>
                <w:rFonts w:hint="eastAsia"/>
                <w:color w:val="000000"/>
                <w:sz w:val="16"/>
                <w:szCs w:val="16"/>
                <w:highlight w:val="none"/>
              </w:rPr>
              <w:br w:type="textWrapping"/>
            </w:r>
            <w:r>
              <w:rPr>
                <w:rFonts w:hint="eastAsia"/>
                <w:color w:val="000000"/>
                <w:sz w:val="16"/>
                <w:szCs w:val="16"/>
                <w:highlight w:val="none"/>
              </w:rPr>
              <w:t>1.校史馆内部全景格局展示；</w:t>
            </w:r>
            <w:r>
              <w:rPr>
                <w:rFonts w:hint="eastAsia"/>
                <w:color w:val="000000"/>
                <w:sz w:val="16"/>
                <w:szCs w:val="16"/>
                <w:highlight w:val="none"/>
              </w:rPr>
              <w:br w:type="textWrapping"/>
            </w:r>
            <w:r>
              <w:rPr>
                <w:rFonts w:hint="eastAsia"/>
                <w:color w:val="000000"/>
                <w:sz w:val="16"/>
                <w:szCs w:val="16"/>
                <w:highlight w:val="none"/>
              </w:rPr>
              <w:t>2.根据参观动线浏览四大分区布局；</w:t>
            </w:r>
            <w:r>
              <w:rPr>
                <w:rFonts w:hint="eastAsia"/>
                <w:color w:val="000000"/>
                <w:sz w:val="16"/>
                <w:szCs w:val="16"/>
                <w:highlight w:val="none"/>
              </w:rPr>
              <w:br w:type="textWrapping"/>
            </w:r>
            <w:r>
              <w:rPr>
                <w:rFonts w:hint="eastAsia"/>
                <w:color w:val="000000"/>
                <w:sz w:val="16"/>
                <w:szCs w:val="16"/>
                <w:highlight w:val="none"/>
              </w:rPr>
              <w:t>3.触控查看墙面主题内容，见证南中的历史与创新；</w:t>
            </w:r>
            <w:r>
              <w:rPr>
                <w:rFonts w:hint="eastAsia"/>
                <w:color w:val="000000"/>
                <w:sz w:val="16"/>
                <w:szCs w:val="16"/>
                <w:highlight w:val="none"/>
              </w:rPr>
              <w:br w:type="textWrapping"/>
            </w:r>
            <w:r>
              <w:rPr>
                <w:rFonts w:hint="eastAsia"/>
                <w:color w:val="000000"/>
                <w:sz w:val="16"/>
                <w:szCs w:val="16"/>
                <w:highlight w:val="none"/>
              </w:rPr>
              <w:t>4.触控查看多媒体内容，详细了解南中文化与发展成果；</w:t>
            </w:r>
            <w:r>
              <w:rPr>
                <w:rFonts w:hint="eastAsia"/>
                <w:color w:val="000000"/>
                <w:sz w:val="16"/>
                <w:szCs w:val="16"/>
                <w:highlight w:val="none"/>
              </w:rPr>
              <w:br w:type="textWrapping"/>
            </w:r>
            <w:r>
              <w:rPr>
                <w:rFonts w:hint="eastAsia"/>
                <w:color w:val="000000"/>
                <w:sz w:val="16"/>
                <w:szCs w:val="16"/>
                <w:highlight w:val="none"/>
              </w:rPr>
              <w:t>5. 展厅策划</w:t>
            </w:r>
            <w:r>
              <w:rPr>
                <w:rFonts w:hint="eastAsia"/>
                <w:color w:val="000000"/>
                <w:sz w:val="16"/>
                <w:szCs w:val="16"/>
                <w:highlight w:val="none"/>
              </w:rPr>
              <w:br w:type="textWrapping"/>
            </w:r>
            <w:r>
              <w:rPr>
                <w:rFonts w:hint="eastAsia"/>
                <w:color w:val="000000"/>
                <w:sz w:val="16"/>
                <w:szCs w:val="16"/>
                <w:highlight w:val="none"/>
              </w:rPr>
              <w:t>规划展厅空间位置，创意布置展示内容，有效引导使用者参观流程。</w:t>
            </w:r>
            <w:r>
              <w:rPr>
                <w:rFonts w:hint="eastAsia"/>
                <w:color w:val="000000"/>
                <w:sz w:val="16"/>
                <w:szCs w:val="16"/>
                <w:highlight w:val="none"/>
              </w:rPr>
              <w:br w:type="textWrapping"/>
            </w:r>
            <w:r>
              <w:rPr>
                <w:rFonts w:hint="eastAsia"/>
                <w:color w:val="000000"/>
                <w:sz w:val="16"/>
                <w:szCs w:val="16"/>
                <w:highlight w:val="none"/>
              </w:rPr>
              <w:t>6. 三维技术将场景虚拟化</w:t>
            </w:r>
            <w:r>
              <w:rPr>
                <w:rFonts w:hint="eastAsia"/>
                <w:color w:val="000000"/>
                <w:sz w:val="16"/>
                <w:szCs w:val="16"/>
                <w:highlight w:val="none"/>
              </w:rPr>
              <w:br w:type="textWrapping"/>
            </w:r>
            <w:r>
              <w:rPr>
                <w:rFonts w:hint="eastAsia"/>
                <w:color w:val="000000"/>
                <w:sz w:val="16"/>
                <w:szCs w:val="16"/>
                <w:highlight w:val="none"/>
              </w:rPr>
              <w:t>采用3DMAX将策划空间建构出来，将场景高保真渲染出来。</w:t>
            </w:r>
            <w:r>
              <w:rPr>
                <w:rFonts w:hint="eastAsia"/>
                <w:color w:val="000000"/>
                <w:sz w:val="16"/>
                <w:szCs w:val="16"/>
                <w:highlight w:val="none"/>
              </w:rPr>
              <w:br w:type="textWrapping"/>
            </w:r>
            <w:r>
              <w:rPr>
                <w:rFonts w:hint="eastAsia"/>
                <w:color w:val="000000"/>
                <w:sz w:val="16"/>
                <w:szCs w:val="16"/>
                <w:highlight w:val="none"/>
              </w:rPr>
              <w:t>7. WebGL技术</w:t>
            </w:r>
            <w:r>
              <w:rPr>
                <w:rFonts w:hint="eastAsia"/>
                <w:color w:val="000000"/>
                <w:sz w:val="16"/>
                <w:szCs w:val="16"/>
                <w:highlight w:val="none"/>
              </w:rPr>
              <w:br w:type="textWrapping"/>
            </w:r>
            <w:r>
              <w:rPr>
                <w:rFonts w:hint="eastAsia"/>
                <w:color w:val="000000"/>
                <w:sz w:val="16"/>
                <w:szCs w:val="16"/>
                <w:highlight w:val="none"/>
              </w:rPr>
              <w:t>采用WebGL技术标准开发，仅用网站浏览器观看，无插件。</w:t>
            </w:r>
            <w:r>
              <w:rPr>
                <w:rFonts w:hint="eastAsia"/>
                <w:color w:val="000000"/>
                <w:sz w:val="16"/>
                <w:szCs w:val="16"/>
                <w:highlight w:val="none"/>
              </w:rPr>
              <w:br w:type="textWrapping"/>
            </w:r>
            <w:r>
              <w:rPr>
                <w:rFonts w:hint="eastAsia"/>
                <w:color w:val="000000"/>
                <w:sz w:val="16"/>
                <w:szCs w:val="16"/>
                <w:highlight w:val="none"/>
              </w:rPr>
              <w:t>8. 服务器</w:t>
            </w:r>
            <w:r>
              <w:rPr>
                <w:rFonts w:hint="eastAsia"/>
                <w:color w:val="000000"/>
                <w:sz w:val="16"/>
                <w:szCs w:val="16"/>
                <w:highlight w:val="none"/>
              </w:rPr>
              <w:br w:type="textWrapping"/>
            </w:r>
            <w:r>
              <w:rPr>
                <w:rFonts w:hint="eastAsia"/>
                <w:color w:val="000000"/>
                <w:sz w:val="16"/>
                <w:szCs w:val="16"/>
                <w:highlight w:val="none"/>
              </w:rPr>
              <w:t>通过互联网云概念，互联网技术获取大数据。</w:t>
            </w:r>
          </w:p>
        </w:tc>
      </w:tr>
      <w:tr>
        <w:tblPrEx>
          <w:tblLayout w:type="fixed"/>
          <w:tblCellMar>
            <w:top w:w="0" w:type="dxa"/>
            <w:left w:w="0" w:type="dxa"/>
            <w:bottom w:w="0" w:type="dxa"/>
            <w:right w:w="0" w:type="dxa"/>
          </w:tblCellMar>
        </w:tblPrEx>
        <w:trPr>
          <w:trHeight w:val="52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b/>
                <w:color w:val="000000"/>
                <w:sz w:val="16"/>
                <w:szCs w:val="16"/>
                <w:highlight w:val="none"/>
              </w:rPr>
            </w:pPr>
            <w:r>
              <w:rPr>
                <w:b/>
                <w:color w:val="000000"/>
                <w:sz w:val="16"/>
                <w:szCs w:val="16"/>
                <w:highlight w:val="none"/>
              </w:rPr>
              <w:t>6</w:t>
            </w:r>
          </w:p>
        </w:tc>
        <w:tc>
          <w:tcPr>
            <w:tcW w:w="7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测距感应装置</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测距感应装置</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定制开发定位实时测距，精准感知测距精度小于2mm；感应及重置位置与真实情况误差不大于5mm;支持二次编程控制开发；</w:t>
            </w:r>
          </w:p>
        </w:tc>
      </w:tr>
      <w:tr>
        <w:tblPrEx>
          <w:tblLayout w:type="fixed"/>
          <w:tblCellMar>
            <w:top w:w="0" w:type="dxa"/>
            <w:left w:w="0" w:type="dxa"/>
            <w:bottom w:w="0" w:type="dxa"/>
            <w:right w:w="0" w:type="dxa"/>
          </w:tblCellMar>
        </w:tblPrEx>
        <w:trPr>
          <w:trHeight w:val="52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b/>
                <w:color w:val="000000"/>
                <w:sz w:val="16"/>
                <w:szCs w:val="16"/>
                <w:highlight w:val="none"/>
              </w:rPr>
            </w:pPr>
            <w:r>
              <w:rPr>
                <w:b/>
                <w:color w:val="000000"/>
                <w:sz w:val="16"/>
                <w:szCs w:val="16"/>
                <w:highlight w:val="none"/>
              </w:rPr>
              <w:t>7</w:t>
            </w:r>
          </w:p>
        </w:tc>
        <w:tc>
          <w:tcPr>
            <w:tcW w:w="7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滑轨台子制作</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滑轨台子制作</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滑轨互动台子造型设计、加工制作图纸制作；工厂生产加工；</w:t>
            </w:r>
          </w:p>
        </w:tc>
      </w:tr>
      <w:tr>
        <w:tblPrEx>
          <w:tblLayout w:type="fixed"/>
          <w:tblCellMar>
            <w:top w:w="0" w:type="dxa"/>
            <w:left w:w="0" w:type="dxa"/>
            <w:bottom w:w="0" w:type="dxa"/>
            <w:right w:w="0" w:type="dxa"/>
          </w:tblCellMar>
        </w:tblPrEx>
        <w:trPr>
          <w:trHeight w:val="52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b/>
                <w:color w:val="000000"/>
                <w:sz w:val="16"/>
                <w:szCs w:val="16"/>
                <w:highlight w:val="none"/>
              </w:rPr>
            </w:pPr>
            <w:r>
              <w:rPr>
                <w:b/>
                <w:color w:val="000000"/>
                <w:sz w:val="16"/>
                <w:szCs w:val="16"/>
                <w:highlight w:val="none"/>
              </w:rPr>
              <w:t>8</w:t>
            </w:r>
          </w:p>
        </w:tc>
        <w:tc>
          <w:tcPr>
            <w:tcW w:w="7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线材、辅料</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16"/>
                <w:szCs w:val="16"/>
                <w:highlight w:val="none"/>
              </w:rPr>
            </w:pPr>
            <w:r>
              <w:rPr>
                <w:rFonts w:hint="eastAsia"/>
                <w:b/>
                <w:color w:val="000000"/>
                <w:sz w:val="16"/>
                <w:szCs w:val="16"/>
                <w:highlight w:val="none"/>
              </w:rPr>
              <w:t>线材、辅料</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color w:val="000000"/>
                <w:sz w:val="16"/>
                <w:szCs w:val="16"/>
                <w:highlight w:val="none"/>
              </w:rPr>
            </w:pPr>
            <w:r>
              <w:rPr>
                <w:rFonts w:hint="eastAsia"/>
                <w:color w:val="000000"/>
                <w:sz w:val="16"/>
                <w:szCs w:val="16"/>
                <w:highlight w:val="none"/>
              </w:rPr>
              <w:t>网络线国标，网络传输速率：1000Mbps； VGA\HDMI线-磁屏蔽国标、VGA接头国标带屏蔽金属材质，包含cat6水晶头，国标束线接头；隐线坦克链等材料；</w:t>
            </w:r>
          </w:p>
        </w:tc>
      </w:tr>
      <w:tr>
        <w:tblPrEx>
          <w:tblLayout w:type="fixed"/>
          <w:tblCellMar>
            <w:top w:w="0" w:type="dxa"/>
            <w:left w:w="0" w:type="dxa"/>
            <w:bottom w:w="0" w:type="dxa"/>
            <w:right w:w="0" w:type="dxa"/>
          </w:tblCellMar>
        </w:tblPrEx>
        <w:trPr>
          <w:trHeight w:val="52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hint="eastAsia" w:eastAsia="宋体"/>
                <w:b/>
                <w:color w:val="000000"/>
                <w:sz w:val="16"/>
                <w:szCs w:val="16"/>
                <w:highlight w:val="none"/>
                <w:lang w:val="en-US" w:eastAsia="zh-CN"/>
              </w:rPr>
            </w:pPr>
            <w:r>
              <w:rPr>
                <w:rFonts w:hint="eastAsia"/>
                <w:b/>
                <w:color w:val="000000"/>
                <w:sz w:val="16"/>
                <w:szCs w:val="16"/>
                <w:highlight w:val="none"/>
                <w:lang w:val="en-US" w:eastAsia="zh-CN"/>
              </w:rPr>
              <w:t>9</w:t>
            </w:r>
          </w:p>
        </w:tc>
        <w:tc>
          <w:tcPr>
            <w:tcW w:w="7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eastAsia" w:eastAsia="宋体"/>
                <w:b/>
                <w:color w:val="000000"/>
                <w:sz w:val="16"/>
                <w:szCs w:val="16"/>
                <w:highlight w:val="none"/>
                <w:lang w:eastAsia="zh-CN"/>
              </w:rPr>
            </w:pPr>
            <w:r>
              <w:rPr>
                <w:rFonts w:hint="eastAsia"/>
                <w:b/>
                <w:color w:val="000000"/>
                <w:sz w:val="16"/>
                <w:szCs w:val="16"/>
                <w:highlight w:val="none"/>
                <w:lang w:eastAsia="zh-CN"/>
              </w:rPr>
              <w:t>平台连接</w:t>
            </w:r>
          </w:p>
        </w:tc>
        <w:tc>
          <w:tcPr>
            <w:tcW w:w="7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rFonts w:hint="eastAsia" w:eastAsia="宋体"/>
                <w:b/>
                <w:color w:val="000000"/>
                <w:sz w:val="16"/>
                <w:szCs w:val="16"/>
                <w:highlight w:val="none"/>
                <w:lang w:eastAsia="zh-CN"/>
              </w:rPr>
            </w:pPr>
            <w:r>
              <w:rPr>
                <w:rFonts w:hint="eastAsia"/>
                <w:b/>
                <w:color w:val="000000"/>
                <w:sz w:val="16"/>
                <w:szCs w:val="16"/>
                <w:highlight w:val="none"/>
                <w:lang w:eastAsia="zh-CN"/>
              </w:rPr>
              <w:t>平台连接</w:t>
            </w:r>
          </w:p>
        </w:tc>
        <w:tc>
          <w:tcPr>
            <w:tcW w:w="7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textAlignment w:val="center"/>
              <w:rPr>
                <w:rFonts w:hint="eastAsia"/>
                <w:color w:val="000000"/>
                <w:sz w:val="16"/>
                <w:szCs w:val="16"/>
                <w:highlight w:val="none"/>
              </w:rPr>
            </w:pPr>
            <w:r>
              <w:rPr>
                <w:rFonts w:hint="eastAsia"/>
                <w:color w:val="000000"/>
                <w:sz w:val="16"/>
                <w:szCs w:val="16"/>
                <w:highlight w:val="none"/>
              </w:rPr>
              <w:t>中标单位须根据学校现有智慧校园基础平台相关接口标准进行无缝对接。</w:t>
            </w:r>
          </w:p>
        </w:tc>
      </w:tr>
    </w:tbl>
    <w:p>
      <w:pPr>
        <w:rPr>
          <w:b/>
          <w:color w:val="FF0000"/>
          <w:sz w:val="18"/>
          <w:szCs w:val="18"/>
          <w:highlight w:val="none"/>
        </w:rPr>
      </w:pPr>
      <w:r>
        <w:rPr>
          <w:rFonts w:hint="eastAsia"/>
          <w:b/>
          <w:color w:val="FF0000"/>
          <w:sz w:val="18"/>
          <w:szCs w:val="18"/>
          <w:highlight w:val="none"/>
        </w:rPr>
        <w:t>备注：</w:t>
      </w:r>
    </w:p>
    <w:p>
      <w:pPr>
        <w:rPr>
          <w:b/>
          <w:color w:val="FF0000"/>
          <w:sz w:val="18"/>
          <w:szCs w:val="18"/>
          <w:highlight w:val="none"/>
        </w:rPr>
      </w:pPr>
      <w:r>
        <w:rPr>
          <w:rFonts w:hint="eastAsia"/>
          <w:b/>
          <w:color w:val="FF0000"/>
          <w:sz w:val="18"/>
          <w:szCs w:val="18"/>
          <w:highlight w:val="none"/>
        </w:rPr>
        <w:t>表内要求均为实质性相应条款，不允许偏离，若偏离将做无效标处理。</w:t>
      </w:r>
    </w:p>
    <w:p>
      <w:pPr>
        <w:tabs>
          <w:tab w:val="left" w:pos="851"/>
          <w:tab w:val="left" w:pos="993"/>
          <w:tab w:val="clear" w:pos="426"/>
        </w:tabs>
        <w:spacing w:before="120" w:after="120"/>
        <w:jc w:val="center"/>
        <w:outlineLvl w:val="2"/>
        <w:rPr>
          <w:b/>
          <w:sz w:val="24"/>
          <w:highlight w:val="none"/>
        </w:rPr>
      </w:pPr>
      <w:bookmarkStart w:id="63" w:name="_Toc514195890"/>
      <w:r>
        <w:rPr>
          <w:rFonts w:hint="eastAsia"/>
          <w:b/>
          <w:sz w:val="24"/>
          <w:highlight w:val="none"/>
        </w:rPr>
        <w:t>七、运行维护</w:t>
      </w:r>
      <w:bookmarkEnd w:id="63"/>
    </w:p>
    <w:p>
      <w:pPr>
        <w:ind w:firstLine="480" w:firstLineChars="200"/>
        <w:rPr>
          <w:sz w:val="24"/>
          <w:highlight w:val="none"/>
        </w:rPr>
      </w:pPr>
      <w:bookmarkStart w:id="64" w:name="_Toc514195892"/>
      <w:r>
        <w:rPr>
          <w:rFonts w:hint="eastAsia"/>
          <w:sz w:val="24"/>
          <w:highlight w:val="none"/>
        </w:rPr>
        <w:t>运行维护内容</w:t>
      </w:r>
      <w:bookmarkEnd w:id="64"/>
      <w:r>
        <w:rPr>
          <w:rFonts w:hint="eastAsia"/>
          <w:sz w:val="24"/>
          <w:highlight w:val="none"/>
        </w:rPr>
        <w:t>：</w:t>
      </w:r>
    </w:p>
    <w:p>
      <w:pPr>
        <w:ind w:firstLine="480" w:firstLineChars="200"/>
        <w:rPr>
          <w:sz w:val="24"/>
          <w:highlight w:val="none"/>
        </w:rPr>
      </w:pPr>
      <w:r>
        <w:rPr>
          <w:rFonts w:hint="eastAsia"/>
          <w:sz w:val="24"/>
          <w:highlight w:val="none"/>
        </w:rPr>
        <w:t>在工程施工过程中，将派技术人员进行全程技术支持，解决施工中与其它工种技术配合问题，对系统应用的产品安装和应用提供技术指导。</w:t>
      </w:r>
    </w:p>
    <w:p>
      <w:pPr>
        <w:ind w:firstLine="480" w:firstLineChars="200"/>
        <w:rPr>
          <w:sz w:val="24"/>
          <w:highlight w:val="none"/>
        </w:rPr>
      </w:pPr>
      <w:r>
        <w:rPr>
          <w:rFonts w:hint="eastAsia"/>
          <w:sz w:val="24"/>
          <w:highlight w:val="none"/>
        </w:rPr>
        <w:t>工程完工后，将负责系统测试和调试，并保证工程达到优良标准。</w:t>
      </w:r>
    </w:p>
    <w:p>
      <w:pPr>
        <w:ind w:firstLine="480" w:firstLineChars="200"/>
        <w:rPr>
          <w:sz w:val="24"/>
          <w:highlight w:val="none"/>
        </w:rPr>
      </w:pPr>
      <w:r>
        <w:rPr>
          <w:rFonts w:hint="eastAsia"/>
          <w:sz w:val="24"/>
          <w:highlight w:val="none"/>
        </w:rPr>
        <w:t>在竣工验收时，将向采购单位提供符合国家档案部门的要求编制成册的工程竣工图及有关的技术档案资料。</w:t>
      </w:r>
    </w:p>
    <w:p>
      <w:pPr>
        <w:ind w:firstLine="480" w:firstLineChars="200"/>
        <w:rPr>
          <w:b/>
          <w:bCs/>
          <w:sz w:val="24"/>
          <w:highlight w:val="none"/>
        </w:rPr>
      </w:pPr>
      <w:r>
        <w:rPr>
          <w:rFonts w:hint="eastAsia"/>
          <w:sz w:val="24"/>
          <w:highlight w:val="none"/>
        </w:rPr>
        <w:t>对工程提供</w:t>
      </w:r>
      <w:r>
        <w:rPr>
          <w:rFonts w:hint="eastAsia"/>
          <w:b/>
          <w:color w:val="FF0000"/>
          <w:sz w:val="24"/>
          <w:highlight w:val="none"/>
        </w:rPr>
        <w:t>一</w:t>
      </w:r>
      <w:r>
        <w:rPr>
          <w:rFonts w:hint="eastAsia"/>
          <w:sz w:val="24"/>
          <w:highlight w:val="none"/>
        </w:rPr>
        <w:t>年的免费保修期，履行合同规定的其他售后服务任务。</w:t>
      </w:r>
    </w:p>
    <w:p>
      <w:pPr>
        <w:ind w:firstLine="315" w:firstLineChars="150"/>
        <w:jc w:val="left"/>
        <w:rPr>
          <w:szCs w:val="21"/>
          <w:highlight w:val="none"/>
        </w:rPr>
      </w:pPr>
    </w:p>
    <w:p>
      <w:pPr>
        <w:adjustRightInd/>
        <w:snapToGrid/>
        <w:spacing w:before="280" w:after="290" w:line="377" w:lineRule="auto"/>
        <w:jc w:val="center"/>
        <w:outlineLvl w:val="2"/>
        <w:rPr>
          <w:b/>
          <w:sz w:val="24"/>
          <w:highlight w:val="none"/>
        </w:rPr>
      </w:pPr>
      <w:r>
        <w:rPr>
          <w:rFonts w:hint="eastAsia" w:cs="Times New Roman"/>
          <w:b/>
          <w:sz w:val="24"/>
          <w:szCs w:val="20"/>
          <w:highlight w:val="none"/>
        </w:rPr>
        <w:br w:type="page"/>
      </w:r>
      <w:r>
        <w:rPr>
          <w:rFonts w:hint="eastAsia"/>
          <w:b/>
          <w:sz w:val="24"/>
          <w:highlight w:val="none"/>
          <w:lang w:eastAsia="zh-CN"/>
        </w:rPr>
        <w:t>八</w:t>
      </w:r>
      <w:r>
        <w:rPr>
          <w:rFonts w:hint="eastAsia"/>
          <w:b/>
          <w:sz w:val="24"/>
          <w:highlight w:val="none"/>
        </w:rPr>
        <w:t>、商务要求</w:t>
      </w:r>
    </w:p>
    <w:tbl>
      <w:tblPr>
        <w:tblStyle w:val="44"/>
        <w:tblW w:w="8961" w:type="dxa"/>
        <w:tblInd w:w="-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539"/>
        <w:gridCol w:w="81"/>
        <w:gridCol w:w="6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7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序号</w:t>
            </w:r>
          </w:p>
        </w:tc>
        <w:tc>
          <w:tcPr>
            <w:tcW w:w="1620" w:type="dxa"/>
            <w:gridSpan w:val="2"/>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目录</w:t>
            </w:r>
          </w:p>
        </w:tc>
        <w:tc>
          <w:tcPr>
            <w:tcW w:w="6471"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招标商务需求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8961" w:type="dxa"/>
            <w:gridSpan w:val="4"/>
          </w:tcPr>
          <w:p>
            <w:pP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87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1</w:t>
            </w:r>
          </w:p>
        </w:tc>
        <w:tc>
          <w:tcPr>
            <w:tcW w:w="1539" w:type="dxa"/>
            <w:vAlign w:val="center"/>
          </w:tcPr>
          <w:p>
            <w:pPr>
              <w:jc w:val="cente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免费保修期</w:t>
            </w:r>
          </w:p>
        </w:tc>
        <w:tc>
          <w:tcPr>
            <w:tcW w:w="6552" w:type="dxa"/>
            <w:gridSpan w:val="2"/>
          </w:tcPr>
          <w:p>
            <w:pPr>
              <w:rPr>
                <w:rFonts w:asciiTheme="majorEastAsia" w:hAnsiTheme="majorEastAsia" w:eastAsiaTheme="majorEastAsia"/>
                <w:b/>
                <w:szCs w:val="21"/>
                <w:highlight w:val="none"/>
              </w:rPr>
            </w:pPr>
            <w:r>
              <w:rPr>
                <w:rFonts w:hint="eastAsia"/>
                <w:szCs w:val="21"/>
                <w:highlight w:val="none"/>
              </w:rPr>
              <w:t>系指中标供应商提供的产品在非使用者人为破坏情况下，出现任何质量问题造成产品不能使用时，由中标供应商免费维修、更换以确保产品正常使用的时间期限。此时间期限从合同验收合格之日起计算。具体是指合同验收合格后</w:t>
            </w:r>
            <w:r>
              <w:rPr>
                <w:rFonts w:hint="eastAsia"/>
                <w:szCs w:val="21"/>
                <w:highlight w:val="none"/>
                <w:u w:val="single"/>
              </w:rPr>
              <w:t xml:space="preserve"> 365日</w:t>
            </w:r>
            <w:r>
              <w:rPr>
                <w:rFonts w:hint="eastAsia"/>
                <w:szCs w:val="21"/>
                <w:highlight w:val="none"/>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870" w:type="dxa"/>
            <w:vAlign w:val="center"/>
          </w:tcPr>
          <w:p>
            <w:pPr>
              <w:jc w:val="center"/>
              <w:rPr>
                <w:szCs w:val="21"/>
                <w:highlight w:val="none"/>
              </w:rPr>
            </w:pPr>
            <w:r>
              <w:rPr>
                <w:rFonts w:hint="eastAsia" w:asciiTheme="majorEastAsia" w:hAnsiTheme="majorEastAsia" w:eastAsiaTheme="majorEastAsia"/>
                <w:b/>
                <w:szCs w:val="21"/>
                <w:highlight w:val="none"/>
              </w:rPr>
              <w:t>2</w:t>
            </w:r>
          </w:p>
        </w:tc>
        <w:tc>
          <w:tcPr>
            <w:tcW w:w="1539" w:type="dxa"/>
            <w:vAlign w:val="center"/>
          </w:tcPr>
          <w:p>
            <w:pPr>
              <w:rPr>
                <w:szCs w:val="21"/>
                <w:highlight w:val="none"/>
              </w:rPr>
            </w:pPr>
            <w:r>
              <w:rPr>
                <w:rFonts w:hint="eastAsia"/>
                <w:szCs w:val="21"/>
                <w:highlight w:val="none"/>
              </w:rPr>
              <w:t>运行维护内容</w:t>
            </w:r>
          </w:p>
          <w:p>
            <w:pPr>
              <w:rPr>
                <w:szCs w:val="21"/>
                <w:highlight w:val="none"/>
              </w:rPr>
            </w:pPr>
          </w:p>
        </w:tc>
        <w:tc>
          <w:tcPr>
            <w:tcW w:w="6552" w:type="dxa"/>
            <w:gridSpan w:val="2"/>
          </w:tcPr>
          <w:p>
            <w:pPr>
              <w:rPr>
                <w:szCs w:val="21"/>
                <w:highlight w:val="none"/>
              </w:rPr>
            </w:pPr>
            <w:r>
              <w:rPr>
                <w:rFonts w:hint="eastAsia"/>
                <w:szCs w:val="21"/>
                <w:highlight w:val="none"/>
              </w:rPr>
              <w:t>在工程施工过程中，将派技术人员进行全程技术支持，解决施工中与其它工种技术配合问题，对系统应用的产品安装和应用提供技术指导。</w:t>
            </w:r>
          </w:p>
          <w:p>
            <w:pPr>
              <w:rPr>
                <w:szCs w:val="21"/>
                <w:highlight w:val="none"/>
              </w:rPr>
            </w:pPr>
            <w:r>
              <w:rPr>
                <w:rFonts w:hint="eastAsia"/>
                <w:szCs w:val="21"/>
                <w:highlight w:val="none"/>
              </w:rPr>
              <w:t>工程完工后，将负责系统测试和调试，并保证工程达到优良标准。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8961" w:type="dxa"/>
            <w:gridSpan w:val="4"/>
          </w:tcPr>
          <w:p>
            <w:pP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（二）其他商务要求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87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1</w:t>
            </w:r>
          </w:p>
        </w:tc>
        <w:tc>
          <w:tcPr>
            <w:tcW w:w="1539" w:type="dxa"/>
            <w:vAlign w:val="center"/>
          </w:tcPr>
          <w:p>
            <w:pPr>
              <w:jc w:val="center"/>
              <w:rPr>
                <w:rFonts w:asciiTheme="majorEastAsia" w:hAnsiTheme="majorEastAsia" w:eastAsiaTheme="majorEastAsia"/>
                <w:szCs w:val="21"/>
                <w:highlight w:val="none"/>
              </w:rPr>
            </w:pPr>
            <w:r>
              <w:rPr>
                <w:rFonts w:hint="eastAsia"/>
                <w:b/>
                <w:szCs w:val="21"/>
                <w:highlight w:val="none"/>
              </w:rPr>
              <w:t>※</w:t>
            </w:r>
            <w:r>
              <w:rPr>
                <w:rFonts w:hint="eastAsia" w:asciiTheme="majorEastAsia" w:hAnsiTheme="majorEastAsia" w:eastAsiaTheme="majorEastAsia"/>
                <w:b/>
                <w:szCs w:val="21"/>
                <w:highlight w:val="none"/>
              </w:rPr>
              <w:t>关于工期</w:t>
            </w:r>
          </w:p>
        </w:tc>
        <w:tc>
          <w:tcPr>
            <w:tcW w:w="6552" w:type="dxa"/>
            <w:gridSpan w:val="2"/>
            <w:vAlign w:val="center"/>
          </w:tcPr>
          <w:p>
            <w:pPr>
              <w:spacing w:beforeLines="100" w:afterLines="50" w:line="300" w:lineRule="auto"/>
              <w:rPr>
                <w:rFonts w:asciiTheme="majorEastAsia" w:hAnsiTheme="majorEastAsia" w:eastAsiaTheme="majorEastAsia"/>
                <w:bCs/>
                <w:szCs w:val="21"/>
                <w:highlight w:val="none"/>
              </w:rPr>
            </w:pPr>
            <w:r>
              <w:rPr>
                <w:b/>
                <w:szCs w:val="21"/>
                <w:highlight w:val="none"/>
              </w:rPr>
              <w:t>完成安装、调试，验收合格交付使用的时间。具体是指合同签订后</w:t>
            </w:r>
            <w:r>
              <w:rPr>
                <w:rFonts w:hint="eastAsia"/>
                <w:b/>
                <w:szCs w:val="21"/>
                <w:highlight w:val="none"/>
                <w:u w:val="single"/>
              </w:rPr>
              <w:t>40</w:t>
            </w:r>
            <w:r>
              <w:rPr>
                <w:b/>
                <w:szCs w:val="21"/>
                <w:highlight w:val="none"/>
              </w:rPr>
              <w:t>日</w:t>
            </w:r>
            <w:r>
              <w:rPr>
                <w:rFonts w:hint="eastAsia"/>
                <w:b/>
                <w:szCs w:val="21"/>
                <w:highlight w:val="none"/>
              </w:rPr>
              <w:t>历日</w:t>
            </w:r>
            <w:r>
              <w:rPr>
                <w:b/>
                <w:szCs w:val="21"/>
                <w:highlight w:val="none"/>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870" w:type="dxa"/>
            <w:vMerge w:val="restart"/>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2</w:t>
            </w:r>
          </w:p>
        </w:tc>
        <w:tc>
          <w:tcPr>
            <w:tcW w:w="1539" w:type="dxa"/>
            <w:vMerge w:val="restart"/>
            <w:vAlign w:val="center"/>
          </w:tcPr>
          <w:p>
            <w:pPr>
              <w:jc w:val="cente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报价</w:t>
            </w:r>
          </w:p>
        </w:tc>
        <w:tc>
          <w:tcPr>
            <w:tcW w:w="6552" w:type="dxa"/>
            <w:gridSpan w:val="2"/>
          </w:tcPr>
          <w:p>
            <w:pPr>
              <w:rPr>
                <w:rFonts w:asciiTheme="majorEastAsia" w:hAnsiTheme="majorEastAsia" w:eastAsiaTheme="majorEastAsia"/>
                <w:bCs/>
                <w:szCs w:val="21"/>
                <w:highlight w:val="none"/>
              </w:rPr>
            </w:pPr>
            <w:r>
              <w:rPr>
                <w:rFonts w:hint="eastAsia" w:asciiTheme="majorEastAsia" w:hAnsiTheme="majorEastAsia" w:eastAsiaTheme="majorEastAsia"/>
                <w:bCs/>
                <w:szCs w:val="21"/>
                <w:highlight w:val="none"/>
              </w:rPr>
              <w:t>2.1投标人的投标总报价高于财政控制金额为无效投标；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870" w:type="dxa"/>
            <w:vMerge w:val="continue"/>
            <w:vAlign w:val="center"/>
          </w:tcPr>
          <w:p>
            <w:pPr>
              <w:jc w:val="center"/>
              <w:rPr>
                <w:rFonts w:asciiTheme="majorEastAsia" w:hAnsiTheme="majorEastAsia" w:eastAsiaTheme="majorEastAsia"/>
                <w:b/>
                <w:szCs w:val="21"/>
                <w:highlight w:val="none"/>
              </w:rPr>
            </w:pPr>
          </w:p>
        </w:tc>
        <w:tc>
          <w:tcPr>
            <w:tcW w:w="1539" w:type="dxa"/>
            <w:vMerge w:val="continue"/>
            <w:vAlign w:val="center"/>
          </w:tcPr>
          <w:p>
            <w:pPr>
              <w:jc w:val="center"/>
              <w:rPr>
                <w:rFonts w:asciiTheme="majorEastAsia" w:hAnsiTheme="majorEastAsia" w:eastAsiaTheme="majorEastAsia"/>
                <w:szCs w:val="21"/>
                <w:highlight w:val="none"/>
              </w:rPr>
            </w:pPr>
          </w:p>
        </w:tc>
        <w:tc>
          <w:tcPr>
            <w:tcW w:w="6552" w:type="dxa"/>
            <w:gridSpan w:val="2"/>
          </w:tcPr>
          <w:p>
            <w:pPr>
              <w:rPr>
                <w:rFonts w:asciiTheme="majorEastAsia" w:hAnsiTheme="majorEastAsia" w:eastAsiaTheme="majorEastAsia"/>
                <w:bCs/>
                <w:szCs w:val="21"/>
                <w:highlight w:val="none"/>
              </w:rPr>
            </w:pPr>
            <w:r>
              <w:rPr>
                <w:rFonts w:hint="eastAsia" w:asciiTheme="majorEastAsia" w:hAnsiTheme="majorEastAsia" w:eastAsiaTheme="majorEastAsia"/>
                <w:bCs/>
                <w:szCs w:val="21"/>
                <w:highlight w:val="none"/>
              </w:rPr>
              <w:t>2.2以人民币为结算单位，投标报价包含完成项目所需的一切费用。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87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3</w:t>
            </w:r>
          </w:p>
        </w:tc>
        <w:tc>
          <w:tcPr>
            <w:tcW w:w="1539" w:type="dxa"/>
            <w:vAlign w:val="center"/>
          </w:tcPr>
          <w:p>
            <w:pPr>
              <w:jc w:val="cente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关于验收</w:t>
            </w:r>
          </w:p>
        </w:tc>
        <w:tc>
          <w:tcPr>
            <w:tcW w:w="6552" w:type="dxa"/>
            <w:gridSpan w:val="2"/>
          </w:tcPr>
          <w:p>
            <w:pPr>
              <w:spacing w:line="340" w:lineRule="exact"/>
              <w:rPr>
                <w:rFonts w:asciiTheme="majorEastAsia" w:hAnsiTheme="majorEastAsia" w:eastAsiaTheme="majorEastAsia"/>
                <w:bCs/>
                <w:szCs w:val="21"/>
                <w:highlight w:val="none"/>
              </w:rPr>
            </w:pPr>
            <w:r>
              <w:rPr>
                <w:rFonts w:hint="eastAsia"/>
                <w:szCs w:val="21"/>
                <w:highlight w:val="none"/>
              </w:rPr>
              <w:t>在竣工验收时，将向采购单位提供符合国家档案部门的要求编制成册的工程竣工图及有关的技术档案资料。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87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4</w:t>
            </w:r>
          </w:p>
        </w:tc>
        <w:tc>
          <w:tcPr>
            <w:tcW w:w="1539" w:type="dxa"/>
          </w:tcPr>
          <w:p>
            <w:pPr>
              <w:jc w:val="center"/>
              <w:rPr>
                <w:rFonts w:asciiTheme="majorEastAsia" w:hAnsiTheme="majorEastAsia" w:eastAsiaTheme="majorEastAsia"/>
                <w:szCs w:val="21"/>
                <w:highlight w:val="none"/>
              </w:rPr>
            </w:pPr>
            <w:r>
              <w:rPr>
                <w:rFonts w:hint="eastAsia"/>
                <w:b/>
                <w:szCs w:val="21"/>
                <w:highlight w:val="none"/>
              </w:rPr>
              <w:t>※</w:t>
            </w:r>
            <w:r>
              <w:rPr>
                <w:rFonts w:hint="eastAsia" w:asciiTheme="majorEastAsia" w:hAnsiTheme="majorEastAsia" w:eastAsiaTheme="majorEastAsia"/>
                <w:b/>
                <w:szCs w:val="21"/>
                <w:highlight w:val="none"/>
              </w:rPr>
              <w:t>付款方式</w:t>
            </w:r>
          </w:p>
        </w:tc>
        <w:tc>
          <w:tcPr>
            <w:tcW w:w="6552" w:type="dxa"/>
            <w:gridSpan w:val="2"/>
          </w:tcPr>
          <w:p>
            <w:pP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按南山区财政局相关规定支付。</w:t>
            </w:r>
          </w:p>
        </w:tc>
      </w:tr>
    </w:tbl>
    <w:p>
      <w:pPr>
        <w:ind w:firstLine="315" w:firstLineChars="150"/>
        <w:jc w:val="left"/>
        <w:rPr>
          <w:szCs w:val="21"/>
          <w:highlight w:val="none"/>
        </w:rPr>
      </w:pPr>
      <w:r>
        <w:rPr>
          <w:rFonts w:hint="eastAsia"/>
          <w:szCs w:val="21"/>
          <w:highlight w:val="none"/>
        </w:rPr>
        <w:t>备注：</w:t>
      </w:r>
    </w:p>
    <w:p>
      <w:pPr>
        <w:ind w:firstLine="315" w:firstLineChars="150"/>
        <w:jc w:val="left"/>
        <w:rPr>
          <w:szCs w:val="21"/>
          <w:highlight w:val="none"/>
        </w:rPr>
      </w:pPr>
      <w:r>
        <w:rPr>
          <w:rFonts w:hint="eastAsia"/>
          <w:szCs w:val="21"/>
          <w:highlight w:val="none"/>
        </w:rPr>
        <w:t xml:space="preserve">1. “（一）免费保修期内售后服务要求”部分，请详细列明免费保修期内的售后服务要求，内容包括但不限于免费保修期限、售后服务人员配备、技术培训方案、质量保证、违约承诺、维修响应及故障解决时间、方案等。 </w:t>
      </w:r>
    </w:p>
    <w:p>
      <w:pPr>
        <w:ind w:firstLine="315" w:firstLineChars="150"/>
        <w:jc w:val="left"/>
        <w:rPr>
          <w:szCs w:val="21"/>
          <w:highlight w:val="none"/>
        </w:rPr>
      </w:pPr>
      <w:r>
        <w:rPr>
          <w:rFonts w:hint="eastAsia"/>
          <w:szCs w:val="21"/>
          <w:highlight w:val="none"/>
        </w:rPr>
        <w:t>2. 以上标注“※”号的商务条款属于实质性条款。供应商必须满足商务条款中标注“※”号的条款，否则，投标将被否决。</w:t>
      </w:r>
    </w:p>
    <w:p>
      <w:pPr>
        <w:tabs>
          <w:tab w:val="left" w:pos="7320"/>
        </w:tabs>
        <w:spacing w:after="200" w:line="276" w:lineRule="auto"/>
        <w:ind w:firstLine="420" w:firstLineChars="200"/>
        <w:jc w:val="left"/>
        <w:rPr>
          <w:szCs w:val="21"/>
          <w:highlight w:val="none"/>
        </w:rPr>
      </w:pPr>
      <w:r>
        <w:rPr>
          <w:szCs w:val="21"/>
          <w:highlight w:val="none"/>
        </w:rPr>
        <w:br w:type="page"/>
      </w:r>
    </w:p>
    <w:p>
      <w:pPr>
        <w:adjustRightInd/>
        <w:snapToGrid/>
        <w:spacing w:before="280" w:after="290" w:line="377" w:lineRule="auto"/>
        <w:jc w:val="center"/>
        <w:outlineLvl w:val="2"/>
        <w:rPr>
          <w:b/>
          <w:sz w:val="24"/>
          <w:highlight w:val="none"/>
        </w:rPr>
      </w:pPr>
      <w:r>
        <w:rPr>
          <w:rFonts w:hint="eastAsia"/>
          <w:b/>
          <w:sz w:val="24"/>
          <w:highlight w:val="none"/>
          <w:lang w:eastAsia="zh-CN"/>
        </w:rPr>
        <w:t>九</w:t>
      </w:r>
      <w:r>
        <w:rPr>
          <w:rFonts w:hint="eastAsia"/>
          <w:b/>
          <w:sz w:val="24"/>
          <w:highlight w:val="none"/>
        </w:rPr>
        <w:t>、重要提醒</w:t>
      </w:r>
    </w:p>
    <w:p>
      <w:pPr>
        <w:ind w:firstLine="315" w:firstLineChars="150"/>
        <w:jc w:val="left"/>
        <w:rPr>
          <w:szCs w:val="21"/>
          <w:highlight w:val="none"/>
        </w:rPr>
      </w:pPr>
      <w:r>
        <w:rPr>
          <w:rFonts w:hint="eastAsia"/>
          <w:szCs w:val="21"/>
          <w:highlight w:val="none"/>
        </w:rPr>
        <w:t>1、《深圳经济特区政府采购条例》规定：供应商在政府采购中，未按本条例规定签订、履行采购合同，造成严重后果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另外，中心将组织第三方专业机构实施项目履约抽检，并采取没收投标保证金、在深圳市政府采购网曝光等措施，对失信供应商进行处理。供应商必须诚信投标，对项目需求响应真实性负责。</w:t>
      </w:r>
    </w:p>
    <w:p>
      <w:pPr>
        <w:ind w:firstLine="315" w:firstLineChars="150"/>
        <w:jc w:val="left"/>
        <w:rPr>
          <w:szCs w:val="21"/>
          <w:highlight w:val="none"/>
        </w:rPr>
      </w:pPr>
      <w:r>
        <w:rPr>
          <w:rFonts w:hint="eastAsia"/>
          <w:szCs w:val="21"/>
          <w:highlight w:val="none"/>
        </w:rPr>
        <w:t>2、任何要求对招标文件进行澄清的投标人，均应于本项目“招标公告”中所述答疑截止时间前在网上通知政府集中采购机构。对于没有提出澄清又参与了该项目投标的供应商将被视为完全认同该招标文件，投标截止期后不再受理针对招标文件的相关投诉。对采购文件中描述有歧义或前后不一致的地方，评标委员会有权进行评判，但对同一条款的评判应适用于每个投标人。</w:t>
      </w:r>
    </w:p>
    <w:p>
      <w:pPr>
        <w:ind w:firstLine="315" w:firstLineChars="150"/>
        <w:jc w:val="left"/>
        <w:rPr>
          <w:szCs w:val="21"/>
          <w:highlight w:val="none"/>
        </w:rPr>
      </w:pPr>
      <w:r>
        <w:rPr>
          <w:rFonts w:hint="eastAsia"/>
          <w:szCs w:val="21"/>
          <w:highlight w:val="none"/>
        </w:rPr>
        <w:t>3、《政府采购货物和服务招标投标管理办法》（财政部令第87号）规定：评标委员会认为投标人的报价明显低于其他通过符合性审查投标人的标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361" w:firstLineChars="150"/>
        <w:jc w:val="center"/>
        <w:rPr>
          <w:b/>
          <w:sz w:val="24"/>
          <w:highlight w:val="none"/>
        </w:rPr>
      </w:pPr>
      <w:r>
        <w:rPr>
          <w:rFonts w:hint="eastAsia"/>
          <w:b/>
          <w:sz w:val="24"/>
          <w:highlight w:val="none"/>
        </w:rPr>
        <w:t>十、政策导向</w:t>
      </w:r>
    </w:p>
    <w:p>
      <w:pPr>
        <w:spacing w:line="400" w:lineRule="exact"/>
        <w:ind w:firstLine="420" w:firstLineChars="200"/>
        <w:rPr>
          <w:bCs/>
          <w:szCs w:val="21"/>
          <w:highlight w:val="none"/>
        </w:rPr>
      </w:pPr>
      <w:r>
        <w:rPr>
          <w:rFonts w:hint="eastAsia"/>
          <w:bCs/>
          <w:szCs w:val="21"/>
          <w:highlight w:val="none"/>
        </w:rPr>
        <w:t>1、按照《国务院办公厅关于建立政府强制采购节能产品制度的通知》（国办发〔2007〕51号）、《财政部、环保总局关于环境标志产品政府采购实施的意见》（财库[2006]90号）、《中共深圳市委、深圳市人民政府关于全面推进循环经济发展的决定》（深发〔2006〕9号）等的要求，以下产品列入政府优先采购清单，我市政府采购组织实施中，在技术、服务等指标满足采购需求的前提下，优先采购以下清单范围内产品：</w:t>
      </w:r>
    </w:p>
    <w:p>
      <w:pPr>
        <w:spacing w:line="400" w:lineRule="exact"/>
        <w:ind w:firstLine="315" w:firstLineChars="150"/>
        <w:rPr>
          <w:bCs/>
          <w:szCs w:val="21"/>
          <w:highlight w:val="none"/>
        </w:rPr>
      </w:pPr>
      <w:r>
        <w:rPr>
          <w:rFonts w:hint="eastAsia"/>
          <w:bCs/>
          <w:szCs w:val="21"/>
          <w:highlight w:val="none"/>
        </w:rPr>
        <w:t>财政部、国家发展和改革委员会制定的《节能产品政府采购清单》，财政部、环境保护部制定的《环境标志产品政府采购清单》中列示的企业及产品，详见中国政府采购网（http://www.ccgp.gov.cn/）首页。</w:t>
      </w:r>
    </w:p>
    <w:p>
      <w:pPr>
        <w:spacing w:line="400" w:lineRule="exact"/>
        <w:ind w:firstLine="420" w:firstLineChars="200"/>
        <w:rPr>
          <w:bCs/>
          <w:szCs w:val="21"/>
          <w:highlight w:val="none"/>
        </w:rPr>
      </w:pPr>
      <w:r>
        <w:rPr>
          <w:rFonts w:hint="eastAsia"/>
          <w:bCs/>
          <w:szCs w:val="21"/>
          <w:highlight w:val="none"/>
        </w:rPr>
        <w:t>2、进入以上清单范围的投标产品将在评标时获得竞争优势。</w:t>
      </w:r>
    </w:p>
    <w:p>
      <w:pPr>
        <w:spacing w:line="400" w:lineRule="exact"/>
        <w:ind w:firstLine="420" w:firstLineChars="200"/>
        <w:rPr>
          <w:bCs/>
          <w:szCs w:val="21"/>
          <w:highlight w:val="none"/>
        </w:rPr>
      </w:pPr>
      <w:r>
        <w:rPr>
          <w:rFonts w:hint="eastAsia"/>
          <w:bCs/>
          <w:szCs w:val="21"/>
          <w:highlight w:val="none"/>
        </w:rPr>
        <w:t>3、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pPr>
        <w:spacing w:line="400" w:lineRule="exact"/>
        <w:ind w:firstLine="420" w:firstLineChars="200"/>
        <w:rPr>
          <w:bCs/>
          <w:szCs w:val="21"/>
          <w:highlight w:val="none"/>
        </w:rPr>
      </w:pPr>
      <w:r>
        <w:rPr>
          <w:rFonts w:hint="eastAsia"/>
          <w:bCs/>
          <w:szCs w:val="21"/>
          <w:highlight w:val="none"/>
        </w:rPr>
        <w:t>4、根据《深圳市南山区人民政府关于印发深圳市南山区生态文明建设规划（2016-2025）的通知》（深南府[2017]16号）文件要求，2018年起南山区政府绿色采购比例目标达到80%。</w:t>
      </w:r>
    </w:p>
    <w:p>
      <w:pPr>
        <w:widowControl w:val="0"/>
        <w:shd w:val="clear" w:color="auto" w:fill="auto"/>
        <w:tabs>
          <w:tab w:val="clear" w:pos="426"/>
        </w:tabs>
        <w:adjustRightInd/>
        <w:snapToGrid/>
        <w:spacing w:beforeLines="50" w:line="300" w:lineRule="auto"/>
        <w:ind w:firstLine="420" w:firstLineChars="200"/>
        <w:rPr>
          <w:kern w:val="2"/>
          <w:highlight w:val="none"/>
        </w:rPr>
      </w:pPr>
      <w:r>
        <w:rPr>
          <w:rFonts w:hint="eastAsia"/>
          <w:bCs/>
          <w:szCs w:val="21"/>
          <w:highlight w:val="none"/>
        </w:rPr>
        <w:t>5、根据《深圳市南山区人民政府关于印发南山区2017-2020年大气环境质量提升工作方案的通知》（深南府〔2017〕31号文）2017年7月起，根据生产生活类产品低挥发性有机物含量限值特区技术规范，在政府部门、国有企业采购项目中，必须采购使用低挥发性有机物含量涂料生产的办公家具。</w:t>
      </w:r>
    </w:p>
    <w:p>
      <w:pPr>
        <w:widowControl w:val="0"/>
        <w:shd w:val="clear" w:color="auto" w:fill="auto"/>
        <w:adjustRightInd/>
        <w:snapToGrid/>
        <w:spacing w:beforeLines="50" w:line="300" w:lineRule="auto"/>
        <w:ind w:firstLine="420" w:firstLineChars="200"/>
        <w:rPr>
          <w:kern w:val="2"/>
          <w:highlight w:val="none"/>
        </w:rPr>
      </w:pPr>
    </w:p>
    <w:p>
      <w:pPr>
        <w:widowControl w:val="0"/>
        <w:shd w:val="clear" w:color="auto" w:fill="auto"/>
        <w:adjustRightInd/>
        <w:snapToGrid/>
        <w:spacing w:beforeLines="50" w:line="300" w:lineRule="auto"/>
        <w:ind w:firstLine="420" w:firstLineChars="200"/>
        <w:rPr>
          <w:kern w:val="2"/>
          <w:highlight w:val="none"/>
        </w:rPr>
      </w:pPr>
    </w:p>
    <w:p>
      <w:pPr>
        <w:pStyle w:val="33"/>
        <w:tabs>
          <w:tab w:val="clear" w:pos="426"/>
        </w:tabs>
        <w:rPr>
          <w:highlight w:val="none"/>
        </w:rPr>
      </w:pPr>
      <w:r>
        <w:rPr>
          <w:highlight w:val="none"/>
        </w:rPr>
        <w:br w:type="page"/>
      </w:r>
      <w:bookmarkStart w:id="65" w:name="_Toc12988"/>
      <w:bookmarkStart w:id="66" w:name="_Toc5875391"/>
      <w:r>
        <w:rPr>
          <w:rFonts w:hint="eastAsia"/>
          <w:highlight w:val="none"/>
        </w:rPr>
        <w:t>第四章</w:t>
      </w:r>
      <w:bookmarkEnd w:id="50"/>
      <w:bookmarkEnd w:id="51"/>
      <w:r>
        <w:rPr>
          <w:rFonts w:hint="eastAsia"/>
          <w:highlight w:val="none"/>
        </w:rPr>
        <w:t>政府采购合同的签订、履约及验收</w:t>
      </w:r>
      <w:bookmarkEnd w:id="65"/>
      <w:bookmarkEnd w:id="66"/>
    </w:p>
    <w:p>
      <w:pPr>
        <w:tabs>
          <w:tab w:val="clear" w:pos="426"/>
        </w:tabs>
        <w:jc w:val="center"/>
        <w:rPr>
          <w:b/>
          <w:sz w:val="24"/>
          <w:highlight w:val="none"/>
        </w:rPr>
      </w:pPr>
      <w:bookmarkStart w:id="67" w:name="_Toc398220526"/>
      <w:bookmarkStart w:id="68" w:name="_Toc432592818"/>
      <w:r>
        <w:rPr>
          <w:rFonts w:hint="eastAsia"/>
          <w:b/>
          <w:sz w:val="24"/>
          <w:highlight w:val="none"/>
        </w:rPr>
        <w:t>一、重要提示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（一）</w:t>
      </w:r>
      <w:r>
        <w:rPr>
          <w:rFonts w:cs="Times New Roman"/>
          <w:kern w:val="2"/>
          <w:szCs w:val="21"/>
          <w:highlight w:val="none"/>
        </w:rPr>
        <w:t xml:space="preserve"> 中标人将于中标通知书发出之日起十个工作日内，按照招标文件和投标文件内容与采购单位签订书面合同，合同书应采用本招标文件规定的合同样本；</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（二）</w:t>
      </w:r>
      <w:r>
        <w:rPr>
          <w:rFonts w:cs="Times New Roman"/>
          <w:kern w:val="2"/>
          <w:szCs w:val="21"/>
          <w:highlight w:val="none"/>
        </w:rPr>
        <w:t xml:space="preserve"> 中标人应当按照合同约定履行义务，完成中标项目，不得将中标项目转让（转包）给他人；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（三）</w:t>
      </w:r>
      <w:r>
        <w:rPr>
          <w:rFonts w:cs="Times New Roman"/>
          <w:kern w:val="2"/>
          <w:szCs w:val="21"/>
          <w:highlight w:val="none"/>
        </w:rPr>
        <w:t xml:space="preserve"> 采购人与中标人签订的合同必须遵守本招标文件的合同条件，并且不得更改合同条件。</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（四）</w:t>
      </w:r>
      <w:r>
        <w:rPr>
          <w:rFonts w:cs="Times New Roman"/>
          <w:kern w:val="2"/>
          <w:szCs w:val="21"/>
          <w:highlight w:val="none"/>
        </w:rPr>
        <w:t xml:space="preserve"> 采购人与中标人应于合同签订之日起10日内，由采购人或委托中标人将采购合同副本抄送政府集中采购机构备案。</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（五）</w:t>
      </w:r>
      <w:r>
        <w:rPr>
          <w:rFonts w:cs="Times New Roman"/>
          <w:kern w:val="2"/>
          <w:szCs w:val="21"/>
          <w:highlight w:val="none"/>
        </w:rPr>
        <w:t xml:space="preserve"> 《深圳经济特区政府采购条例》第五十七条规定：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1.在采购活动中应当回避而未回避的；</w:t>
      </w:r>
    </w:p>
    <w:p>
      <w:pPr>
        <w:widowControl w:val="0"/>
        <w:shd w:val="clear" w:color="auto" w:fill="auto"/>
        <w:tabs>
          <w:tab w:val="clear" w:pos="426"/>
        </w:tabs>
        <w:adjustRightInd/>
        <w:snapToGrid/>
        <w:spacing w:line="240" w:lineRule="auto"/>
        <w:ind w:firstLine="422" w:firstLineChars="200"/>
        <w:rPr>
          <w:rFonts w:cs="Times New Roman"/>
          <w:b/>
          <w:kern w:val="2"/>
          <w:szCs w:val="21"/>
          <w:highlight w:val="none"/>
        </w:rPr>
      </w:pPr>
      <w:r>
        <w:rPr>
          <w:rFonts w:cs="Times New Roman"/>
          <w:b/>
          <w:kern w:val="2"/>
          <w:szCs w:val="21"/>
          <w:highlight w:val="none"/>
        </w:rPr>
        <w:t>2.未按本条例规定签订、履行采购合同，造成严重后果的；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3.隐瞒真实情况，提供虚假资料的；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4.以非法手段排斥其他供应商参与竞争的；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5.与其他采购参加人串通投标的；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6.恶意投诉的；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7.向采购项目相关人行贿或者提供其他不当利益的；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8.阻碍、抗拒主管部门监督检查的；</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cs="Times New Roman"/>
          <w:kern w:val="2"/>
          <w:szCs w:val="21"/>
          <w:highlight w:val="none"/>
        </w:rPr>
        <w:t>9.其他违反本条例规定的行为。</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r>
        <w:rPr>
          <w:rFonts w:hint="eastAsia" w:cs="Times New Roman"/>
          <w:kern w:val="2"/>
          <w:szCs w:val="21"/>
          <w:highlight w:val="none"/>
        </w:rPr>
        <w:t>（六）</w:t>
      </w:r>
      <w:r>
        <w:rPr>
          <w:rFonts w:cs="Times New Roman"/>
          <w:kern w:val="2"/>
          <w:szCs w:val="21"/>
          <w:highlight w:val="none"/>
        </w:rPr>
        <w:t xml:space="preserve"> 供应商必须诚信投标，对项目需求进行实质性响应。采购单位（或深圳市政府采购中心）将组织聘请第三方专业机构（必要时，邀请参加本项目投标的供应商）实施项目履约验收，如未按合同履约，将按上述第（五）条规定进行处理。</w:t>
      </w: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widowControl w:val="0"/>
        <w:shd w:val="clear" w:color="auto" w:fill="auto"/>
        <w:tabs>
          <w:tab w:val="clear" w:pos="426"/>
        </w:tabs>
        <w:adjustRightInd/>
        <w:snapToGrid/>
        <w:spacing w:line="240" w:lineRule="auto"/>
        <w:ind w:firstLine="420" w:firstLineChars="200"/>
        <w:rPr>
          <w:rFonts w:cs="Times New Roman"/>
          <w:kern w:val="2"/>
          <w:szCs w:val="21"/>
          <w:highlight w:val="none"/>
        </w:rPr>
      </w:pPr>
    </w:p>
    <w:p>
      <w:pPr>
        <w:shd w:val="clear" w:color="auto" w:fill="auto"/>
        <w:tabs>
          <w:tab w:val="clear" w:pos="426"/>
        </w:tabs>
        <w:adjustRightInd/>
        <w:snapToGrid/>
        <w:spacing w:line="240" w:lineRule="auto"/>
        <w:jc w:val="left"/>
        <w:rPr>
          <w:b/>
          <w:sz w:val="24"/>
          <w:highlight w:val="none"/>
        </w:rPr>
      </w:pPr>
      <w:r>
        <w:rPr>
          <w:b/>
          <w:sz w:val="24"/>
          <w:highlight w:val="none"/>
        </w:rPr>
        <w:br w:type="page"/>
      </w:r>
    </w:p>
    <w:p>
      <w:pPr>
        <w:tabs>
          <w:tab w:val="clear" w:pos="426"/>
        </w:tabs>
        <w:jc w:val="center"/>
        <w:rPr>
          <w:b/>
          <w:sz w:val="24"/>
          <w:highlight w:val="none"/>
        </w:rPr>
      </w:pPr>
    </w:p>
    <w:p>
      <w:pPr>
        <w:tabs>
          <w:tab w:val="clear" w:pos="426"/>
        </w:tabs>
        <w:jc w:val="center"/>
        <w:rPr>
          <w:b/>
          <w:sz w:val="24"/>
          <w:highlight w:val="none"/>
        </w:rPr>
      </w:pPr>
      <w:r>
        <w:rPr>
          <w:rFonts w:hint="eastAsia"/>
          <w:b/>
          <w:sz w:val="24"/>
          <w:highlight w:val="none"/>
        </w:rPr>
        <w:t>二、合同条款及格式（仅供参考）</w:t>
      </w:r>
    </w:p>
    <w:p>
      <w:pPr>
        <w:tabs>
          <w:tab w:val="clear" w:pos="426"/>
        </w:tabs>
        <w:jc w:val="center"/>
        <w:rPr>
          <w:b/>
          <w:sz w:val="24"/>
          <w:highlight w:val="none"/>
        </w:rPr>
      </w:pPr>
    </w:p>
    <w:p>
      <w:pPr>
        <w:tabs>
          <w:tab w:val="clear" w:pos="426"/>
        </w:tabs>
        <w:jc w:val="center"/>
        <w:rPr>
          <w:b/>
          <w:sz w:val="24"/>
          <w:highlight w:val="none"/>
        </w:rPr>
      </w:pPr>
      <w:r>
        <w:rPr>
          <w:rFonts w:hint="eastAsia"/>
          <w:b/>
          <w:sz w:val="24"/>
          <w:highlight w:val="none"/>
        </w:rPr>
        <w:t>有专业类别的格式合同范本请选择相应的合同</w:t>
      </w:r>
    </w:p>
    <w:p>
      <w:pPr>
        <w:pStyle w:val="5"/>
        <w:rPr>
          <w:highlight w:val="none"/>
        </w:rPr>
      </w:pPr>
      <w:bookmarkStart w:id="69" w:name="_Toc10767"/>
      <w:r>
        <w:rPr>
          <w:rFonts w:hint="eastAsia"/>
          <w:highlight w:val="none"/>
        </w:rPr>
        <w:t>一、合同条款及格式</w:t>
      </w:r>
      <w:bookmarkEnd w:id="69"/>
    </w:p>
    <w:p>
      <w:pPr>
        <w:jc w:val="center"/>
        <w:rPr>
          <w:szCs w:val="21"/>
          <w:highlight w:val="none"/>
        </w:rPr>
      </w:pPr>
      <w:r>
        <w:rPr>
          <w:rFonts w:hint="eastAsia"/>
          <w:szCs w:val="21"/>
          <w:highlight w:val="none"/>
        </w:rPr>
        <w:t>（供参考）</w:t>
      </w:r>
    </w:p>
    <w:p>
      <w:pPr>
        <w:rPr>
          <w:szCs w:val="21"/>
          <w:highlight w:val="none"/>
        </w:rPr>
      </w:pPr>
      <w:r>
        <w:rPr>
          <w:rFonts w:hint="eastAsia"/>
          <w:szCs w:val="21"/>
          <w:highlight w:val="none"/>
        </w:rPr>
        <w:t>供方：</w:t>
      </w:r>
    </w:p>
    <w:p>
      <w:pPr>
        <w:rPr>
          <w:szCs w:val="21"/>
          <w:highlight w:val="none"/>
        </w:rPr>
      </w:pPr>
    </w:p>
    <w:p>
      <w:pPr>
        <w:rPr>
          <w:szCs w:val="21"/>
          <w:highlight w:val="none"/>
        </w:rPr>
      </w:pPr>
      <w:r>
        <w:rPr>
          <w:rFonts w:hint="eastAsia"/>
          <w:szCs w:val="21"/>
          <w:highlight w:val="none"/>
        </w:rPr>
        <w:t>需方：</w:t>
      </w:r>
    </w:p>
    <w:p>
      <w:pPr>
        <w:rPr>
          <w:szCs w:val="21"/>
          <w:highlight w:val="none"/>
        </w:rPr>
      </w:pPr>
    </w:p>
    <w:p>
      <w:pPr>
        <w:rPr>
          <w:szCs w:val="21"/>
          <w:highlight w:val="none"/>
        </w:rPr>
      </w:pPr>
      <w:r>
        <w:rPr>
          <w:rFonts w:hint="eastAsia"/>
          <w:szCs w:val="21"/>
          <w:highlight w:val="none"/>
        </w:rPr>
        <w:t>供、需双方根据年月日招标的结果和“招标文件”的要求，并经双方协调一致，达成本购销合同：</w:t>
      </w:r>
    </w:p>
    <w:p>
      <w:pPr>
        <w:rPr>
          <w:szCs w:val="21"/>
          <w:highlight w:val="none"/>
        </w:rPr>
      </w:pPr>
      <w:r>
        <w:rPr>
          <w:rFonts w:hint="eastAsia"/>
          <w:szCs w:val="21"/>
          <w:highlight w:val="none"/>
        </w:rPr>
        <w:t>一、设备名称：</w:t>
      </w:r>
    </w:p>
    <w:p>
      <w:pPr>
        <w:rPr>
          <w:szCs w:val="21"/>
          <w:highlight w:val="none"/>
        </w:rPr>
      </w:pPr>
      <w:r>
        <w:rPr>
          <w:rFonts w:hint="eastAsia"/>
          <w:szCs w:val="21"/>
          <w:highlight w:val="none"/>
        </w:rPr>
        <w:t>设备型号：</w:t>
      </w:r>
    </w:p>
    <w:p>
      <w:pPr>
        <w:rPr>
          <w:szCs w:val="21"/>
          <w:highlight w:val="none"/>
        </w:rPr>
      </w:pPr>
      <w:r>
        <w:rPr>
          <w:rFonts w:hint="eastAsia"/>
          <w:szCs w:val="21"/>
          <w:highlight w:val="none"/>
        </w:rPr>
        <w:t>设备产地及厂家：</w:t>
      </w:r>
    </w:p>
    <w:p>
      <w:pPr>
        <w:rPr>
          <w:szCs w:val="21"/>
          <w:highlight w:val="none"/>
        </w:rPr>
      </w:pPr>
      <w:r>
        <w:rPr>
          <w:rFonts w:hint="eastAsia"/>
          <w:szCs w:val="21"/>
          <w:highlight w:val="none"/>
        </w:rPr>
        <w:t>设备单价：</w:t>
      </w:r>
    </w:p>
    <w:p>
      <w:pPr>
        <w:rPr>
          <w:szCs w:val="21"/>
          <w:highlight w:val="none"/>
        </w:rPr>
      </w:pPr>
      <w:r>
        <w:rPr>
          <w:rFonts w:hint="eastAsia"/>
          <w:szCs w:val="21"/>
          <w:highlight w:val="none"/>
        </w:rPr>
        <w:t>设备数量：</w:t>
      </w:r>
    </w:p>
    <w:p>
      <w:pPr>
        <w:rPr>
          <w:szCs w:val="21"/>
          <w:highlight w:val="none"/>
        </w:rPr>
      </w:pPr>
      <w:r>
        <w:rPr>
          <w:rFonts w:hint="eastAsia"/>
          <w:szCs w:val="21"/>
          <w:highlight w:val="none"/>
        </w:rPr>
        <w:t>合同总价：</w:t>
      </w:r>
    </w:p>
    <w:p>
      <w:pPr>
        <w:rPr>
          <w:szCs w:val="21"/>
          <w:highlight w:val="none"/>
        </w:rPr>
      </w:pPr>
      <w:r>
        <w:rPr>
          <w:rFonts w:hint="eastAsia"/>
          <w:szCs w:val="21"/>
          <w:highlight w:val="none"/>
        </w:rPr>
        <w:t>本合同以人民币进行结算，该价格为深圳工地价。</w:t>
      </w:r>
    </w:p>
    <w:p>
      <w:pPr>
        <w:rPr>
          <w:szCs w:val="21"/>
          <w:highlight w:val="none"/>
        </w:rPr>
      </w:pPr>
      <w:r>
        <w:rPr>
          <w:rFonts w:hint="eastAsia"/>
          <w:szCs w:val="21"/>
          <w:highlight w:val="none"/>
        </w:rPr>
        <w:t>二、设备质量要求及供方对质量负责条件和期限：</w:t>
      </w:r>
    </w:p>
    <w:p>
      <w:pPr>
        <w:rPr>
          <w:szCs w:val="21"/>
          <w:highlight w:val="none"/>
        </w:rPr>
      </w:pPr>
      <w:r>
        <w:rPr>
          <w:rFonts w:hint="eastAsia"/>
          <w:szCs w:val="21"/>
          <w:highlight w:val="none"/>
        </w:rPr>
        <w:t>供方提供的设备必须是全新的设备（包括零部件）。有关设备必须符合国家检测标准，或具有有关质检部门出具的产品检验合格证明。</w:t>
      </w:r>
    </w:p>
    <w:p>
      <w:pPr>
        <w:rPr>
          <w:szCs w:val="21"/>
          <w:highlight w:val="none"/>
        </w:rPr>
      </w:pPr>
      <w:r>
        <w:rPr>
          <w:rFonts w:hint="eastAsia"/>
          <w:szCs w:val="21"/>
          <w:highlight w:val="none"/>
        </w:rPr>
        <w:t>供方对所提供的设备须提供 年的维修保养期，保养期内非因需方的人为原因而出现质量问题，由供方负责。供方负责包修、包换或者包退，并承担修理、调换或退货的实际费用。供方不能修理或不能调换，按不能交货处理。</w:t>
      </w:r>
    </w:p>
    <w:p>
      <w:pPr>
        <w:rPr>
          <w:szCs w:val="21"/>
          <w:highlight w:val="none"/>
        </w:rPr>
      </w:pPr>
      <w:r>
        <w:rPr>
          <w:rFonts w:hint="eastAsia"/>
          <w:szCs w:val="21"/>
          <w:highlight w:val="none"/>
        </w:rPr>
        <w:t>三、若供方提供进口设备，则须提供合法的进口手续和商检证明。</w:t>
      </w:r>
    </w:p>
    <w:p>
      <w:pPr>
        <w:rPr>
          <w:szCs w:val="21"/>
          <w:highlight w:val="none"/>
        </w:rPr>
      </w:pPr>
      <w:r>
        <w:rPr>
          <w:rFonts w:hint="eastAsia"/>
          <w:szCs w:val="21"/>
          <w:highlight w:val="none"/>
        </w:rPr>
        <w:t>四、交货时间、地点、方式：</w:t>
      </w:r>
    </w:p>
    <w:p>
      <w:pPr>
        <w:rPr>
          <w:szCs w:val="21"/>
          <w:highlight w:val="none"/>
        </w:rPr>
      </w:pPr>
      <w:r>
        <w:rPr>
          <w:rFonts w:hint="eastAsia"/>
          <w:szCs w:val="21"/>
          <w:highlight w:val="none"/>
        </w:rPr>
        <w:t>合同签订后日内，供方负责将设备在深圳工地安装调试，由需方负责验收。设备运送产生的费用由供方负责。</w:t>
      </w:r>
    </w:p>
    <w:p>
      <w:pPr>
        <w:rPr>
          <w:szCs w:val="21"/>
          <w:highlight w:val="none"/>
        </w:rPr>
      </w:pPr>
      <w:r>
        <w:rPr>
          <w:rFonts w:hint="eastAsia"/>
          <w:szCs w:val="21"/>
          <w:highlight w:val="none"/>
        </w:rPr>
        <w:t>五、供方应随设备向需方交付设备使用说明书及相关资料。</w:t>
      </w:r>
    </w:p>
    <w:p>
      <w:pPr>
        <w:rPr>
          <w:szCs w:val="21"/>
          <w:highlight w:val="none"/>
        </w:rPr>
      </w:pPr>
      <w:r>
        <w:rPr>
          <w:rFonts w:hint="eastAsia"/>
          <w:szCs w:val="21"/>
          <w:highlight w:val="none"/>
        </w:rPr>
        <w:t>六、付款方式：若采购资金属于财政直接支付的，按照深圳市南山区财政局有关规定办理。</w:t>
      </w:r>
    </w:p>
    <w:p>
      <w:pPr>
        <w:rPr>
          <w:szCs w:val="21"/>
          <w:highlight w:val="none"/>
        </w:rPr>
      </w:pPr>
      <w:r>
        <w:rPr>
          <w:rFonts w:hint="eastAsia"/>
          <w:szCs w:val="21"/>
          <w:highlight w:val="none"/>
        </w:rPr>
        <w:t>七、违约责任：</w:t>
      </w:r>
    </w:p>
    <w:p>
      <w:pPr>
        <w:rPr>
          <w:szCs w:val="21"/>
          <w:highlight w:val="none"/>
        </w:rPr>
      </w:pPr>
      <w:r>
        <w:rPr>
          <w:rFonts w:hint="eastAsia"/>
          <w:szCs w:val="21"/>
          <w:highlight w:val="none"/>
        </w:rPr>
        <w:t>需方无正当理由拒收设备、拒付设备款的，需方向供方偿付设备总值的百分之十违约金。</w:t>
      </w:r>
    </w:p>
    <w:p>
      <w:pPr>
        <w:rPr>
          <w:szCs w:val="21"/>
          <w:highlight w:val="none"/>
        </w:rPr>
      </w:pPr>
      <w:r>
        <w:rPr>
          <w:rFonts w:hint="eastAsia"/>
          <w:szCs w:val="21"/>
          <w:highlight w:val="none"/>
        </w:rPr>
        <w:t>需方逾期付设备款的，需方向供方每日偿付欠款总额千分之五的违约金。</w:t>
      </w:r>
    </w:p>
    <w:p>
      <w:pPr>
        <w:rPr>
          <w:szCs w:val="21"/>
          <w:highlight w:val="none"/>
        </w:rPr>
      </w:pPr>
      <w:r>
        <w:rPr>
          <w:rFonts w:hint="eastAsia"/>
          <w:szCs w:val="21"/>
          <w:highlight w:val="none"/>
        </w:rPr>
        <w:t>供方所交的设备品种、型号、规格、质量不符合同规定标准的，需方有权拒绝收货。供方向需方偿付设备总值百分之十的违约金。</w:t>
      </w:r>
    </w:p>
    <w:p>
      <w:pPr>
        <w:rPr>
          <w:szCs w:val="21"/>
          <w:highlight w:val="none"/>
        </w:rPr>
      </w:pPr>
      <w:r>
        <w:rPr>
          <w:rFonts w:hint="eastAsia"/>
          <w:szCs w:val="21"/>
          <w:highlight w:val="none"/>
        </w:rPr>
        <w:t>供方不能交付设备的，供方向需方支付设备总值百分之十的违约金。</w:t>
      </w:r>
    </w:p>
    <w:p>
      <w:pPr>
        <w:rPr>
          <w:szCs w:val="21"/>
          <w:highlight w:val="none"/>
        </w:rPr>
      </w:pPr>
      <w:r>
        <w:rPr>
          <w:rFonts w:hint="eastAsia"/>
          <w:szCs w:val="21"/>
          <w:highlight w:val="none"/>
        </w:rPr>
        <w:t>供方逾期未交付设备的，供方向需方每日偿付设备款千分之五违约金。</w:t>
      </w:r>
    </w:p>
    <w:p>
      <w:pPr>
        <w:rPr>
          <w:szCs w:val="21"/>
          <w:highlight w:val="none"/>
        </w:rPr>
      </w:pPr>
      <w:r>
        <w:rPr>
          <w:rFonts w:hint="eastAsia"/>
          <w:szCs w:val="21"/>
          <w:highlight w:val="none"/>
        </w:rPr>
        <w:t>八、因设备的质量问题发生争议，由国家和市政府认可的技术单位进行质量鉴定，该鉴定结论是终局的，供需双方应当接受。</w:t>
      </w:r>
    </w:p>
    <w:p>
      <w:pPr>
        <w:rPr>
          <w:szCs w:val="21"/>
          <w:highlight w:val="none"/>
        </w:rPr>
      </w:pPr>
      <w:r>
        <w:rPr>
          <w:rFonts w:hint="eastAsia"/>
          <w:szCs w:val="21"/>
          <w:highlight w:val="none"/>
        </w:rPr>
        <w:t>九、本合同发生争议产生的诉讼，由合同签订所在地人民法院管辖。</w:t>
      </w:r>
    </w:p>
    <w:p>
      <w:pPr>
        <w:rPr>
          <w:szCs w:val="21"/>
          <w:highlight w:val="none"/>
        </w:rPr>
      </w:pPr>
      <w:r>
        <w:rPr>
          <w:rFonts w:hint="eastAsia"/>
          <w:szCs w:val="21"/>
          <w:highlight w:val="none"/>
        </w:rPr>
        <w:t>十、本合同一式份，供需双方各执一份，均具同等法律。在合同签订后，应按政府采购有关规定，到南山区政府采购及招标中心办理备案手续。</w:t>
      </w:r>
    </w:p>
    <w:p>
      <w:pPr>
        <w:rPr>
          <w:szCs w:val="21"/>
          <w:highlight w:val="none"/>
        </w:rPr>
      </w:pPr>
      <w:r>
        <w:rPr>
          <w:rFonts w:hint="eastAsia"/>
          <w:szCs w:val="21"/>
          <w:highlight w:val="none"/>
        </w:rPr>
        <w:t>供方：需方：</w:t>
      </w:r>
    </w:p>
    <w:p>
      <w:pPr>
        <w:rPr>
          <w:szCs w:val="21"/>
          <w:highlight w:val="none"/>
        </w:rPr>
      </w:pPr>
      <w:r>
        <w:rPr>
          <w:rFonts w:hint="eastAsia"/>
          <w:szCs w:val="21"/>
          <w:highlight w:val="none"/>
        </w:rPr>
        <w:t>地址：地址：</w:t>
      </w:r>
    </w:p>
    <w:p>
      <w:pPr>
        <w:rPr>
          <w:szCs w:val="21"/>
          <w:highlight w:val="none"/>
        </w:rPr>
      </w:pPr>
      <w:r>
        <w:rPr>
          <w:rFonts w:hint="eastAsia"/>
          <w:szCs w:val="21"/>
          <w:highlight w:val="none"/>
        </w:rPr>
        <w:t>法定代表人：法定代表人：</w:t>
      </w:r>
    </w:p>
    <w:p>
      <w:pPr>
        <w:rPr>
          <w:szCs w:val="21"/>
          <w:highlight w:val="none"/>
        </w:rPr>
      </w:pPr>
      <w:r>
        <w:rPr>
          <w:rFonts w:hint="eastAsia"/>
          <w:szCs w:val="21"/>
          <w:highlight w:val="none"/>
        </w:rPr>
        <w:t>委托代理人：委托代理人：</w:t>
      </w:r>
    </w:p>
    <w:p>
      <w:pPr>
        <w:rPr>
          <w:szCs w:val="21"/>
          <w:highlight w:val="none"/>
        </w:rPr>
      </w:pPr>
      <w:r>
        <w:rPr>
          <w:rFonts w:hint="eastAsia"/>
          <w:szCs w:val="21"/>
          <w:highlight w:val="none"/>
        </w:rPr>
        <w:t>电话：电话：</w:t>
      </w:r>
    </w:p>
    <w:p>
      <w:pPr>
        <w:rPr>
          <w:szCs w:val="21"/>
          <w:highlight w:val="none"/>
        </w:rPr>
      </w:pPr>
      <w:r>
        <w:rPr>
          <w:rFonts w:hint="eastAsia"/>
          <w:szCs w:val="21"/>
          <w:highlight w:val="none"/>
        </w:rPr>
        <w:t>开户银行：开户银行：</w:t>
      </w:r>
    </w:p>
    <w:p>
      <w:pPr>
        <w:rPr>
          <w:szCs w:val="21"/>
          <w:highlight w:val="none"/>
        </w:rPr>
      </w:pPr>
      <w:r>
        <w:rPr>
          <w:rFonts w:hint="eastAsia"/>
          <w:szCs w:val="21"/>
          <w:highlight w:val="none"/>
        </w:rPr>
        <w:t>帐号：帐号：</w:t>
      </w:r>
    </w:p>
    <w:p>
      <w:pPr>
        <w:rPr>
          <w:szCs w:val="21"/>
          <w:highlight w:val="none"/>
        </w:rPr>
      </w:pPr>
      <w:r>
        <w:rPr>
          <w:rFonts w:hint="eastAsia"/>
          <w:szCs w:val="21"/>
          <w:highlight w:val="none"/>
        </w:rPr>
        <w:t>签约时间：年月日</w:t>
      </w:r>
    </w:p>
    <w:p>
      <w:pPr>
        <w:ind w:firstLine="420" w:firstLineChars="200"/>
        <w:rPr>
          <w:szCs w:val="21"/>
          <w:highlight w:val="none"/>
        </w:rPr>
      </w:pPr>
      <w:r>
        <w:rPr>
          <w:rFonts w:hint="eastAsia"/>
          <w:szCs w:val="21"/>
          <w:highlight w:val="none"/>
        </w:rPr>
        <w:t>签约地址：</w:t>
      </w:r>
    </w:p>
    <w:p>
      <w:pPr>
        <w:shd w:val="clear" w:color="auto" w:fill="auto"/>
        <w:tabs>
          <w:tab w:val="clear" w:pos="426"/>
        </w:tabs>
        <w:adjustRightInd/>
        <w:snapToGrid/>
        <w:spacing w:line="240" w:lineRule="auto"/>
        <w:jc w:val="left"/>
        <w:rPr>
          <w:color w:val="000000"/>
          <w:sz w:val="24"/>
          <w:highlight w:val="none"/>
        </w:rPr>
      </w:pPr>
    </w:p>
    <w:p>
      <w:pPr>
        <w:shd w:val="clear" w:color="auto" w:fill="auto"/>
        <w:tabs>
          <w:tab w:val="clear" w:pos="426"/>
        </w:tabs>
        <w:adjustRightInd/>
        <w:snapToGrid/>
        <w:spacing w:line="240" w:lineRule="auto"/>
        <w:jc w:val="left"/>
        <w:rPr>
          <w:color w:val="000000"/>
          <w:sz w:val="24"/>
          <w:highlight w:val="none"/>
        </w:rPr>
      </w:pPr>
    </w:p>
    <w:p>
      <w:pPr>
        <w:shd w:val="clear" w:color="auto" w:fill="auto"/>
        <w:tabs>
          <w:tab w:val="clear" w:pos="426"/>
        </w:tabs>
        <w:adjustRightInd/>
        <w:snapToGrid/>
        <w:spacing w:line="240" w:lineRule="auto"/>
        <w:jc w:val="left"/>
        <w:rPr>
          <w:color w:val="000000"/>
          <w:sz w:val="24"/>
          <w:highlight w:val="none"/>
        </w:rPr>
      </w:pPr>
      <w:r>
        <w:rPr>
          <w:color w:val="000000"/>
          <w:sz w:val="24"/>
          <w:highlight w:val="none"/>
        </w:rPr>
        <w:br w:type="page"/>
      </w:r>
    </w:p>
    <w:p>
      <w:pPr>
        <w:tabs>
          <w:tab w:val="clear" w:pos="426"/>
        </w:tabs>
        <w:jc w:val="center"/>
        <w:rPr>
          <w:b/>
          <w:sz w:val="24"/>
          <w:highlight w:val="none"/>
        </w:rPr>
      </w:pPr>
    </w:p>
    <w:p>
      <w:pPr>
        <w:tabs>
          <w:tab w:val="clear" w:pos="426"/>
        </w:tabs>
        <w:jc w:val="center"/>
        <w:rPr>
          <w:b/>
          <w:sz w:val="24"/>
          <w:highlight w:val="none"/>
        </w:rPr>
      </w:pPr>
      <w:r>
        <w:rPr>
          <w:rFonts w:hint="eastAsia"/>
          <w:b/>
          <w:sz w:val="24"/>
          <w:highlight w:val="none"/>
        </w:rPr>
        <w:t>三、履约担保</w:t>
      </w:r>
    </w:p>
    <w:p>
      <w:pPr>
        <w:tabs>
          <w:tab w:val="clear" w:pos="426"/>
        </w:tabs>
        <w:ind w:left="6094" w:leftChars="2902"/>
        <w:rPr>
          <w:sz w:val="22"/>
          <w:szCs w:val="22"/>
          <w:highlight w:val="none"/>
        </w:rPr>
      </w:pPr>
    </w:p>
    <w:p>
      <w:pPr>
        <w:tabs>
          <w:tab w:val="clear" w:pos="426"/>
        </w:tabs>
        <w:ind w:left="6094" w:leftChars="2902"/>
        <w:rPr>
          <w:highlight w:val="none"/>
          <w:u w:val="single"/>
        </w:rPr>
      </w:pPr>
      <w:r>
        <w:rPr>
          <w:rFonts w:hint="eastAsia"/>
          <w:sz w:val="22"/>
          <w:szCs w:val="22"/>
          <w:highlight w:val="none"/>
        </w:rPr>
        <w:t>保函编号：</w:t>
      </w:r>
    </w:p>
    <w:p>
      <w:pPr>
        <w:tabs>
          <w:tab w:val="clear" w:pos="426"/>
        </w:tabs>
        <w:rPr>
          <w:sz w:val="22"/>
          <w:szCs w:val="22"/>
          <w:highlight w:val="none"/>
        </w:rPr>
      </w:pPr>
      <w:r>
        <w:rPr>
          <w:rFonts w:hint="eastAsia"/>
          <w:sz w:val="22"/>
          <w:szCs w:val="22"/>
          <w:highlight w:val="none"/>
        </w:rPr>
        <w:t xml:space="preserve">致：: </w:t>
      </w:r>
    </w:p>
    <w:p>
      <w:pPr>
        <w:tabs>
          <w:tab w:val="clear" w:pos="426"/>
        </w:tabs>
        <w:rPr>
          <w:highlight w:val="none"/>
        </w:rPr>
      </w:pPr>
      <w:r>
        <w:rPr>
          <w:rFonts w:hint="eastAsia"/>
          <w:highlight w:val="none"/>
        </w:rPr>
        <w:t xml:space="preserve">鉴于 </w:t>
      </w:r>
      <w:r>
        <w:rPr>
          <w:rFonts w:hint="eastAsia"/>
          <w:highlight w:val="none"/>
          <w:u w:val="single"/>
        </w:rPr>
        <w:t xml:space="preserve">     （被保护人)       </w:t>
      </w:r>
      <w:r>
        <w:rPr>
          <w:rFonts w:hint="eastAsia"/>
          <w:highlight w:val="none"/>
        </w:rPr>
        <w:t>已于贵方签订了</w:t>
      </w:r>
      <w:r>
        <w:rPr>
          <w:rFonts w:hint="eastAsia"/>
          <w:highlight w:val="none"/>
          <w:u w:val="single"/>
        </w:rPr>
        <w:t>（项目名称）（招标项目编号：      ）</w:t>
      </w:r>
      <w:r>
        <w:rPr>
          <w:rFonts w:hint="eastAsia"/>
          <w:highlight w:val="none"/>
        </w:rPr>
        <w:t>的</w:t>
      </w:r>
      <w:r>
        <w:rPr>
          <w:rFonts w:hint="eastAsia"/>
          <w:highlight w:val="none"/>
          <w:u w:val="single"/>
        </w:rPr>
        <w:t>（采购合同名称）</w:t>
      </w:r>
      <w:r>
        <w:rPr>
          <w:rFonts w:hint="eastAsia"/>
          <w:highlight w:val="none"/>
        </w:rPr>
        <w:t>采购合同（下称合同)，工期自</w:t>
      </w:r>
      <w:r>
        <w:rPr>
          <w:rFonts w:hint="eastAsia"/>
          <w:highlight w:val="none"/>
          <w:u w:val="single"/>
        </w:rPr>
        <w:t xml:space="preserve">       年   月   日</w:t>
      </w:r>
      <w:r>
        <w:rPr>
          <w:rFonts w:hint="eastAsia"/>
          <w:highlight w:val="none"/>
        </w:rPr>
        <w:t>至</w:t>
      </w:r>
      <w:r>
        <w:rPr>
          <w:rFonts w:hint="eastAsia"/>
          <w:highlight w:val="none"/>
          <w:u w:val="single"/>
        </w:rPr>
        <w:t xml:space="preserve">       年   月   日</w:t>
      </w:r>
      <w:r>
        <w:rPr>
          <w:rFonts w:hint="eastAsia"/>
          <w:highlight w:val="none"/>
        </w:rPr>
        <w:t>。我方接受被保证人的委托，在此向受益人提供不可撤销的履约保函：</w:t>
      </w:r>
    </w:p>
    <w:p>
      <w:pPr>
        <w:tabs>
          <w:tab w:val="clear" w:pos="426"/>
        </w:tabs>
        <w:rPr>
          <w:highlight w:val="none"/>
        </w:rPr>
      </w:pPr>
      <w:r>
        <w:rPr>
          <w:rFonts w:hint="eastAsia"/>
          <w:highlight w:val="none"/>
        </w:rPr>
        <w:t>1．本保证担保的最高担保金额为人民币</w:t>
      </w:r>
      <w:r>
        <w:rPr>
          <w:rFonts w:hint="eastAsia"/>
          <w:highlight w:val="none"/>
          <w:u w:val="single"/>
        </w:rPr>
        <w:t xml:space="preserve">   （小写)    </w:t>
      </w:r>
      <w:r>
        <w:rPr>
          <w:rFonts w:hint="eastAsia"/>
          <w:highlight w:val="none"/>
        </w:rPr>
        <w:t>元（</w:t>
      </w:r>
      <w:r>
        <w:rPr>
          <w:rFonts w:hint="eastAsia"/>
          <w:highlight w:val="none"/>
          <w:u w:val="single"/>
        </w:rPr>
        <w:t xml:space="preserve">   （大写)     </w:t>
      </w:r>
      <w:r>
        <w:rPr>
          <w:rFonts w:hint="eastAsia"/>
          <w:highlight w:val="none"/>
        </w:rPr>
        <w:t>元）。</w:t>
      </w:r>
    </w:p>
    <w:p>
      <w:pPr>
        <w:tabs>
          <w:tab w:val="clear" w:pos="426"/>
        </w:tabs>
        <w:rPr>
          <w:highlight w:val="none"/>
        </w:rPr>
      </w:pPr>
      <w:r>
        <w:rPr>
          <w:rFonts w:hint="eastAsia"/>
          <w:highlight w:val="none"/>
        </w:rPr>
        <w:t>2．本保证担保的保证期间自</w:t>
      </w:r>
      <w:r>
        <w:rPr>
          <w:rFonts w:hint="eastAsia"/>
          <w:highlight w:val="none"/>
          <w:u w:val="single"/>
        </w:rPr>
        <w:t xml:space="preserve">        年    月   日</w:t>
      </w:r>
      <w:r>
        <w:rPr>
          <w:rFonts w:hint="eastAsia"/>
          <w:highlight w:val="none"/>
        </w:rPr>
        <w:t>至</w:t>
      </w:r>
      <w:r>
        <w:rPr>
          <w:rFonts w:hint="eastAsia"/>
          <w:highlight w:val="none"/>
          <w:u w:val="single"/>
        </w:rPr>
        <w:t xml:space="preserve">        年   月   日</w:t>
      </w:r>
      <w:r>
        <w:rPr>
          <w:rFonts w:hint="eastAsia"/>
          <w:highlight w:val="none"/>
        </w:rPr>
        <w:t>。</w:t>
      </w:r>
    </w:p>
    <w:p>
      <w:pPr>
        <w:tabs>
          <w:tab w:val="clear" w:pos="426"/>
        </w:tabs>
        <w:rPr>
          <w:highlight w:val="none"/>
        </w:rPr>
      </w:pPr>
      <w:r>
        <w:rPr>
          <w:rFonts w:hint="eastAsia"/>
          <w:highlight w:val="none"/>
        </w:rPr>
        <w:t>3．在本保证担保的保证期间内，我方将在收到</w:t>
      </w:r>
      <w:r>
        <w:rPr>
          <w:rFonts w:hint="eastAsia"/>
          <w:highlight w:val="none"/>
          <w:u w:val="single"/>
        </w:rPr>
        <w:t xml:space="preserve">      （受益人）     </w:t>
      </w:r>
      <w:r>
        <w:rPr>
          <w:rFonts w:hint="eastAsia"/>
          <w:highlight w:val="none"/>
        </w:rPr>
        <w:t>法定代表人或其授权委托代理人签字确认并加盖公章的书面索赔通知后个工作日内，不争辩、不挑剔、不可撤销地向受益人支付索赔款，直至本保证的最高担保金额。</w:t>
      </w:r>
    </w:p>
    <w:p>
      <w:pPr>
        <w:tabs>
          <w:tab w:val="clear" w:pos="426"/>
        </w:tabs>
        <w:rPr>
          <w:highlight w:val="none"/>
        </w:rPr>
      </w:pPr>
      <w:r>
        <w:rPr>
          <w:rFonts w:hint="eastAsia"/>
          <w:highlight w:val="none"/>
        </w:rPr>
        <w:t>4．索赔通知应当说明索赔理由、索赔款额的计算方法，并必须在本保证担保的保证期间内送达我方。</w:t>
      </w:r>
    </w:p>
    <w:p>
      <w:pPr>
        <w:tabs>
          <w:tab w:val="clear" w:pos="426"/>
        </w:tabs>
        <w:rPr>
          <w:highlight w:val="none"/>
        </w:rPr>
      </w:pPr>
      <w:r>
        <w:rPr>
          <w:rFonts w:hint="eastAsia"/>
          <w:highlight w:val="none"/>
        </w:rPr>
        <w:t>5．本保证担保项下的权利不得转让。</w:t>
      </w:r>
    </w:p>
    <w:p>
      <w:pPr>
        <w:tabs>
          <w:tab w:val="clear" w:pos="426"/>
        </w:tabs>
        <w:rPr>
          <w:highlight w:val="none"/>
        </w:rPr>
      </w:pPr>
      <w:r>
        <w:rPr>
          <w:rFonts w:hint="eastAsia"/>
          <w:highlight w:val="none"/>
        </w:rPr>
        <w:t>6．我方提供本保证担保后，受益人与被保证人对合同进行修订的，应当将修订后的合同原件送我方备案。</w:t>
      </w:r>
    </w:p>
    <w:p>
      <w:pPr>
        <w:tabs>
          <w:tab w:val="clear" w:pos="426"/>
        </w:tabs>
        <w:rPr>
          <w:highlight w:val="none"/>
        </w:rPr>
      </w:pPr>
      <w:r>
        <w:rPr>
          <w:rFonts w:hint="eastAsia"/>
          <w:highlight w:val="none"/>
        </w:rPr>
        <w:t>7．本保证担保的保证期间届满，或我方向受益人支付的索赔款已达本保证担保的最高担保金额，我方的保证责任免除。</w:t>
      </w:r>
    </w:p>
    <w:p>
      <w:pPr>
        <w:tabs>
          <w:tab w:val="clear" w:pos="426"/>
        </w:tabs>
        <w:rPr>
          <w:highlight w:val="none"/>
        </w:rPr>
      </w:pPr>
      <w:r>
        <w:rPr>
          <w:rFonts w:hint="eastAsia"/>
          <w:highlight w:val="none"/>
        </w:rPr>
        <w:t>8．本保证担保适用中华人民共和国法律。</w:t>
      </w:r>
    </w:p>
    <w:p>
      <w:pPr>
        <w:tabs>
          <w:tab w:val="clear" w:pos="426"/>
        </w:tabs>
        <w:rPr>
          <w:highlight w:val="none"/>
        </w:rPr>
      </w:pPr>
      <w:r>
        <w:rPr>
          <w:rFonts w:hint="eastAsia"/>
          <w:highlight w:val="none"/>
        </w:rPr>
        <w:t>9．本保证担保以中文文本为准，涂改无效。</w:t>
      </w:r>
    </w:p>
    <w:p>
      <w:pPr>
        <w:tabs>
          <w:tab w:val="clear" w:pos="426"/>
        </w:tabs>
        <w:rPr>
          <w:highlight w:val="none"/>
        </w:rPr>
      </w:pPr>
    </w:p>
    <w:p>
      <w:pPr>
        <w:tabs>
          <w:tab w:val="clear" w:pos="426"/>
        </w:tabs>
        <w:rPr>
          <w:highlight w:val="none"/>
        </w:rPr>
      </w:pPr>
      <w:r>
        <w:rPr>
          <w:rFonts w:hint="eastAsia"/>
          <w:highlight w:val="none"/>
        </w:rPr>
        <w:t>（本保函失效后，请将原件退回我方注销)</w:t>
      </w:r>
    </w:p>
    <w:p>
      <w:pPr>
        <w:tabs>
          <w:tab w:val="clear" w:pos="426"/>
        </w:tabs>
        <w:rPr>
          <w:highlight w:val="none"/>
        </w:rPr>
      </w:pPr>
    </w:p>
    <w:p>
      <w:pPr>
        <w:tabs>
          <w:tab w:val="clear" w:pos="426"/>
        </w:tabs>
        <w:rPr>
          <w:highlight w:val="none"/>
        </w:rPr>
      </w:pPr>
      <w:r>
        <w:rPr>
          <w:rFonts w:hint="eastAsia"/>
          <w:highlight w:val="none"/>
        </w:rPr>
        <w:t>保证人名称（公章)：</w:t>
      </w:r>
    </w:p>
    <w:p>
      <w:pPr>
        <w:tabs>
          <w:tab w:val="clear" w:pos="426"/>
        </w:tabs>
        <w:rPr>
          <w:highlight w:val="none"/>
        </w:rPr>
      </w:pPr>
      <w:r>
        <w:rPr>
          <w:rFonts w:hint="eastAsia"/>
          <w:highlight w:val="none"/>
        </w:rPr>
        <w:t>法定代表人或委托代理人（签字)：</w:t>
      </w:r>
    </w:p>
    <w:p>
      <w:pPr>
        <w:tabs>
          <w:tab w:val="clear" w:pos="426"/>
        </w:tabs>
        <w:rPr>
          <w:highlight w:val="none"/>
        </w:rPr>
      </w:pPr>
      <w:r>
        <w:rPr>
          <w:rFonts w:hint="eastAsia"/>
          <w:highlight w:val="none"/>
        </w:rPr>
        <w:t>单位地址：</w:t>
      </w:r>
    </w:p>
    <w:p>
      <w:pPr>
        <w:tabs>
          <w:tab w:val="clear" w:pos="426"/>
        </w:tabs>
        <w:rPr>
          <w:highlight w:val="none"/>
        </w:rPr>
      </w:pPr>
      <w:r>
        <w:rPr>
          <w:rFonts w:hint="eastAsia"/>
          <w:highlight w:val="none"/>
        </w:rPr>
        <w:t>电话：传真：</w:t>
      </w:r>
    </w:p>
    <w:p>
      <w:pPr>
        <w:tabs>
          <w:tab w:val="clear" w:pos="426"/>
        </w:tabs>
        <w:rPr>
          <w:highlight w:val="none"/>
        </w:rPr>
      </w:pPr>
      <w:r>
        <w:rPr>
          <w:rFonts w:hint="eastAsia"/>
          <w:highlight w:val="none"/>
        </w:rPr>
        <w:t>日期：</w:t>
      </w:r>
    </w:p>
    <w:p>
      <w:pPr>
        <w:tabs>
          <w:tab w:val="clear" w:pos="426"/>
        </w:tabs>
        <w:rPr>
          <w:highlight w:val="none"/>
        </w:rPr>
      </w:pPr>
    </w:p>
    <w:p>
      <w:pPr>
        <w:tabs>
          <w:tab w:val="clear" w:pos="426"/>
        </w:tabs>
        <w:rPr>
          <w:highlight w:val="none"/>
        </w:rPr>
      </w:pPr>
      <w:r>
        <w:rPr>
          <w:rFonts w:hint="eastAsia"/>
          <w:highlight w:val="none"/>
        </w:rPr>
        <w:t>说明：《履约担保》为中标后提交履约保函时所用，投标文件中无需提供《履约担保》。</w:t>
      </w:r>
    </w:p>
    <w:p>
      <w:pPr>
        <w:shd w:val="clear" w:color="auto" w:fill="auto"/>
        <w:tabs>
          <w:tab w:val="clear" w:pos="426"/>
        </w:tabs>
        <w:adjustRightInd/>
        <w:snapToGrid/>
        <w:spacing w:line="240" w:lineRule="auto"/>
        <w:jc w:val="left"/>
        <w:rPr>
          <w:highlight w:val="none"/>
        </w:rPr>
      </w:pPr>
      <w:r>
        <w:rPr>
          <w:highlight w:val="none"/>
        </w:rPr>
        <w:br w:type="page"/>
      </w:r>
    </w:p>
    <w:p>
      <w:pPr>
        <w:tabs>
          <w:tab w:val="clear" w:pos="426"/>
        </w:tabs>
        <w:rPr>
          <w:highlight w:val="none"/>
        </w:rPr>
      </w:pPr>
    </w:p>
    <w:p>
      <w:pPr>
        <w:tabs>
          <w:tab w:val="clear" w:pos="426"/>
        </w:tabs>
        <w:jc w:val="center"/>
        <w:rPr>
          <w:b/>
          <w:sz w:val="24"/>
          <w:highlight w:val="none"/>
        </w:rPr>
      </w:pPr>
      <w:r>
        <w:rPr>
          <w:rFonts w:hint="eastAsia"/>
          <w:b/>
          <w:sz w:val="24"/>
          <w:highlight w:val="none"/>
        </w:rPr>
        <w:t>四、政府采购履约情况反馈表</w:t>
      </w:r>
    </w:p>
    <w:p>
      <w:pPr>
        <w:tabs>
          <w:tab w:val="clear" w:pos="426"/>
        </w:tabs>
        <w:jc w:val="center"/>
        <w:rPr>
          <w:b/>
          <w:sz w:val="24"/>
          <w:highlight w:val="none"/>
        </w:rPr>
      </w:pPr>
    </w:p>
    <w:p>
      <w:pPr>
        <w:tabs>
          <w:tab w:val="clear" w:pos="426"/>
        </w:tabs>
        <w:rPr>
          <w:highlight w:val="none"/>
          <w:u w:val="single"/>
        </w:rPr>
      </w:pPr>
      <w:r>
        <w:rPr>
          <w:rFonts w:hint="eastAsia"/>
          <w:highlight w:val="none"/>
        </w:rPr>
        <w:t>采购单位名称：联系人及电话：</w:t>
      </w:r>
    </w:p>
    <w:tbl>
      <w:tblPr>
        <w:tblStyle w:val="44"/>
        <w:tblW w:w="957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773"/>
        <w:gridCol w:w="773"/>
        <w:gridCol w:w="2704"/>
        <w:gridCol w:w="2125"/>
        <w:gridCol w:w="2291"/>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jc w:val="center"/>
        </w:trPr>
        <w:tc>
          <w:tcPr>
            <w:tcW w:w="2450" w:type="dxa"/>
            <w:gridSpan w:val="3"/>
            <w:vAlign w:val="center"/>
          </w:tcPr>
          <w:p>
            <w:pPr>
              <w:tabs>
                <w:tab w:val="clear" w:pos="426"/>
              </w:tabs>
              <w:spacing w:line="240" w:lineRule="auto"/>
              <w:rPr>
                <w:highlight w:val="none"/>
              </w:rPr>
            </w:pPr>
            <w:r>
              <w:rPr>
                <w:rFonts w:hint="eastAsia"/>
                <w:highlight w:val="none"/>
              </w:rPr>
              <w:t>采购项目名称</w:t>
            </w:r>
          </w:p>
        </w:tc>
        <w:tc>
          <w:tcPr>
            <w:tcW w:w="2704" w:type="dxa"/>
            <w:vAlign w:val="center"/>
          </w:tcPr>
          <w:p>
            <w:pPr>
              <w:tabs>
                <w:tab w:val="clear" w:pos="426"/>
              </w:tabs>
              <w:spacing w:line="240" w:lineRule="auto"/>
              <w:rPr>
                <w:highlight w:val="none"/>
              </w:rPr>
            </w:pPr>
          </w:p>
        </w:tc>
        <w:tc>
          <w:tcPr>
            <w:tcW w:w="2125" w:type="dxa"/>
            <w:vAlign w:val="center"/>
          </w:tcPr>
          <w:p>
            <w:pPr>
              <w:tabs>
                <w:tab w:val="clear" w:pos="426"/>
              </w:tabs>
              <w:spacing w:line="240" w:lineRule="auto"/>
              <w:rPr>
                <w:highlight w:val="none"/>
              </w:rPr>
            </w:pPr>
            <w:r>
              <w:rPr>
                <w:rFonts w:hint="eastAsia"/>
                <w:highlight w:val="none"/>
              </w:rPr>
              <w:t>项目编号</w:t>
            </w:r>
          </w:p>
        </w:tc>
        <w:tc>
          <w:tcPr>
            <w:tcW w:w="2291" w:type="dxa"/>
            <w:vAlign w:val="center"/>
          </w:tcPr>
          <w:p>
            <w:pPr>
              <w:pStyle w:val="6"/>
              <w:tabs>
                <w:tab w:val="clear" w:pos="426"/>
              </w:tabs>
              <w:spacing w:line="240" w:lineRule="auto"/>
              <w:jc w:val="both"/>
              <w:rPr>
                <w:rFonts w:ascii="宋体" w:hAnsi="宋体" w:cs="宋体"/>
                <w:kern w:val="0"/>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jc w:val="center"/>
        </w:trPr>
        <w:tc>
          <w:tcPr>
            <w:tcW w:w="2450" w:type="dxa"/>
            <w:gridSpan w:val="3"/>
            <w:vAlign w:val="center"/>
          </w:tcPr>
          <w:p>
            <w:pPr>
              <w:tabs>
                <w:tab w:val="clear" w:pos="426"/>
              </w:tabs>
              <w:spacing w:line="240" w:lineRule="auto"/>
              <w:rPr>
                <w:highlight w:val="none"/>
              </w:rPr>
            </w:pPr>
            <w:r>
              <w:rPr>
                <w:rFonts w:hint="eastAsia"/>
                <w:highlight w:val="none"/>
              </w:rPr>
              <w:t>中标人名称</w:t>
            </w:r>
          </w:p>
        </w:tc>
        <w:tc>
          <w:tcPr>
            <w:tcW w:w="2704" w:type="dxa"/>
            <w:vAlign w:val="center"/>
          </w:tcPr>
          <w:p>
            <w:pPr>
              <w:tabs>
                <w:tab w:val="clear" w:pos="426"/>
              </w:tabs>
              <w:spacing w:line="240" w:lineRule="auto"/>
              <w:rPr>
                <w:highlight w:val="none"/>
              </w:rPr>
            </w:pPr>
          </w:p>
        </w:tc>
        <w:tc>
          <w:tcPr>
            <w:tcW w:w="2125" w:type="dxa"/>
            <w:vAlign w:val="center"/>
          </w:tcPr>
          <w:p>
            <w:pPr>
              <w:tabs>
                <w:tab w:val="clear" w:pos="426"/>
              </w:tabs>
              <w:spacing w:line="240" w:lineRule="auto"/>
              <w:rPr>
                <w:highlight w:val="none"/>
              </w:rPr>
            </w:pPr>
            <w:r>
              <w:rPr>
                <w:rFonts w:hint="eastAsia"/>
                <w:highlight w:val="none"/>
              </w:rPr>
              <w:t>供应商</w:t>
            </w:r>
          </w:p>
          <w:p>
            <w:pPr>
              <w:tabs>
                <w:tab w:val="clear" w:pos="426"/>
              </w:tabs>
              <w:spacing w:line="240" w:lineRule="auto"/>
              <w:rPr>
                <w:highlight w:val="none"/>
              </w:rPr>
            </w:pPr>
            <w:r>
              <w:rPr>
                <w:rFonts w:hint="eastAsia"/>
                <w:highlight w:val="none"/>
              </w:rPr>
              <w:t>联系人及电话</w:t>
            </w:r>
          </w:p>
        </w:tc>
        <w:tc>
          <w:tcPr>
            <w:tcW w:w="2291" w:type="dxa"/>
            <w:vAlign w:val="center"/>
          </w:tcPr>
          <w:p>
            <w:pPr>
              <w:tabs>
                <w:tab w:val="clear" w:pos="426"/>
              </w:tabs>
              <w:spacing w:line="240" w:lineRule="auto"/>
              <w:rPr>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38" w:hRule="atLeast"/>
          <w:jc w:val="center"/>
        </w:trPr>
        <w:tc>
          <w:tcPr>
            <w:tcW w:w="2450" w:type="dxa"/>
            <w:gridSpan w:val="3"/>
            <w:vAlign w:val="center"/>
          </w:tcPr>
          <w:p>
            <w:pPr>
              <w:tabs>
                <w:tab w:val="clear" w:pos="426"/>
              </w:tabs>
              <w:spacing w:line="240" w:lineRule="auto"/>
              <w:rPr>
                <w:highlight w:val="none"/>
              </w:rPr>
            </w:pPr>
            <w:r>
              <w:rPr>
                <w:rFonts w:hint="eastAsia"/>
                <w:highlight w:val="none"/>
              </w:rPr>
              <w:t>中标金额</w:t>
            </w:r>
          </w:p>
        </w:tc>
        <w:tc>
          <w:tcPr>
            <w:tcW w:w="2704" w:type="dxa"/>
            <w:vAlign w:val="center"/>
          </w:tcPr>
          <w:p>
            <w:pPr>
              <w:tabs>
                <w:tab w:val="clear" w:pos="426"/>
              </w:tabs>
              <w:spacing w:line="240" w:lineRule="auto"/>
              <w:rPr>
                <w:highlight w:val="none"/>
              </w:rPr>
            </w:pPr>
          </w:p>
        </w:tc>
        <w:tc>
          <w:tcPr>
            <w:tcW w:w="2125" w:type="dxa"/>
            <w:vAlign w:val="center"/>
          </w:tcPr>
          <w:p>
            <w:pPr>
              <w:tabs>
                <w:tab w:val="clear" w:pos="426"/>
              </w:tabs>
              <w:spacing w:line="240" w:lineRule="auto"/>
              <w:rPr>
                <w:highlight w:val="none"/>
              </w:rPr>
            </w:pPr>
            <w:r>
              <w:rPr>
                <w:rFonts w:hint="eastAsia"/>
                <w:highlight w:val="none"/>
              </w:rPr>
              <w:t>合同履约时间</w:t>
            </w:r>
          </w:p>
        </w:tc>
        <w:tc>
          <w:tcPr>
            <w:tcW w:w="2291" w:type="dxa"/>
            <w:vAlign w:val="center"/>
          </w:tcPr>
          <w:p>
            <w:pPr>
              <w:tabs>
                <w:tab w:val="clear" w:pos="426"/>
              </w:tabs>
              <w:spacing w:line="240" w:lineRule="auto"/>
              <w:rPr>
                <w:highlight w:val="none"/>
              </w:rPr>
            </w:pPr>
            <w:r>
              <w:rPr>
                <w:rFonts w:hint="eastAsia"/>
                <w:highlight w:val="none"/>
              </w:rPr>
              <w:t>自       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restart"/>
            <w:vAlign w:val="center"/>
          </w:tcPr>
          <w:p>
            <w:pPr>
              <w:tabs>
                <w:tab w:val="clear" w:pos="426"/>
              </w:tabs>
              <w:spacing w:line="240" w:lineRule="auto"/>
              <w:jc w:val="center"/>
              <w:rPr>
                <w:highlight w:val="none"/>
              </w:rPr>
            </w:pPr>
            <w:r>
              <w:rPr>
                <w:rFonts w:hint="eastAsia"/>
                <w:highlight w:val="none"/>
              </w:rPr>
              <w:t>履约情况评价</w:t>
            </w:r>
          </w:p>
        </w:tc>
        <w:tc>
          <w:tcPr>
            <w:tcW w:w="1546" w:type="dxa"/>
            <w:gridSpan w:val="2"/>
            <w:tcBorders>
              <w:right w:val="single" w:color="auto" w:sz="4" w:space="0"/>
            </w:tcBorders>
            <w:vAlign w:val="center"/>
          </w:tcPr>
          <w:p>
            <w:pPr>
              <w:tabs>
                <w:tab w:val="clear" w:pos="426"/>
              </w:tabs>
              <w:spacing w:line="240" w:lineRule="auto"/>
              <w:jc w:val="center"/>
              <w:rPr>
                <w:highlight w:val="none"/>
              </w:rPr>
            </w:pPr>
            <w:r>
              <w:rPr>
                <w:rFonts w:hint="eastAsia"/>
                <w:highlight w:val="none"/>
              </w:rPr>
              <w:t>总体评价</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jc w:val="center"/>
              <w:rPr>
                <w:highlight w:val="none"/>
              </w:rPr>
            </w:pPr>
          </w:p>
        </w:tc>
        <w:tc>
          <w:tcPr>
            <w:tcW w:w="773" w:type="dxa"/>
            <w:vMerge w:val="restart"/>
            <w:tcBorders>
              <w:right w:val="single" w:color="auto" w:sz="4" w:space="0"/>
            </w:tcBorders>
            <w:vAlign w:val="center"/>
          </w:tcPr>
          <w:p>
            <w:pPr>
              <w:tabs>
                <w:tab w:val="clear" w:pos="426"/>
              </w:tabs>
              <w:spacing w:line="240" w:lineRule="auto"/>
              <w:jc w:val="center"/>
              <w:rPr>
                <w:highlight w:val="none"/>
              </w:rPr>
            </w:pPr>
            <w:r>
              <w:rPr>
                <w:rFonts w:hint="eastAsia"/>
                <w:highlight w:val="none"/>
              </w:rPr>
              <w:t>分项评价</w:t>
            </w: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质量方面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价格方面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服务方面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时间方面</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环境保护</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904" w:type="dxa"/>
            <w:vMerge w:val="continue"/>
            <w:vAlign w:val="center"/>
          </w:tcPr>
          <w:p>
            <w:pPr>
              <w:tabs>
                <w:tab w:val="clear" w:pos="426"/>
              </w:tabs>
              <w:spacing w:line="240" w:lineRule="auto"/>
              <w:rPr>
                <w:highlight w:val="none"/>
              </w:rPr>
            </w:pPr>
          </w:p>
        </w:tc>
        <w:tc>
          <w:tcPr>
            <w:tcW w:w="773" w:type="dxa"/>
            <w:vMerge w:val="continue"/>
            <w:tcBorders>
              <w:right w:val="single" w:color="auto" w:sz="4" w:space="0"/>
            </w:tcBorders>
            <w:vAlign w:val="center"/>
          </w:tcPr>
          <w:p>
            <w:pPr>
              <w:tabs>
                <w:tab w:val="clear" w:pos="426"/>
              </w:tabs>
              <w:spacing w:line="240" w:lineRule="auto"/>
              <w:rPr>
                <w:highlight w:val="none"/>
              </w:rPr>
            </w:pPr>
          </w:p>
        </w:tc>
        <w:tc>
          <w:tcPr>
            <w:tcW w:w="773" w:type="dxa"/>
            <w:tcBorders>
              <w:left w:val="single" w:color="auto" w:sz="4" w:space="0"/>
              <w:right w:val="single" w:color="auto" w:sz="4" w:space="0"/>
            </w:tcBorders>
            <w:vAlign w:val="center"/>
          </w:tcPr>
          <w:p>
            <w:pPr>
              <w:tabs>
                <w:tab w:val="clear" w:pos="426"/>
              </w:tabs>
              <w:spacing w:line="240" w:lineRule="auto"/>
              <w:jc w:val="center"/>
              <w:rPr>
                <w:highlight w:val="none"/>
              </w:rPr>
            </w:pPr>
            <w:r>
              <w:rPr>
                <w:rFonts w:hint="eastAsia"/>
                <w:highlight w:val="none"/>
              </w:rPr>
              <w:t>其他</w:t>
            </w:r>
          </w:p>
        </w:tc>
        <w:tc>
          <w:tcPr>
            <w:tcW w:w="7120" w:type="dxa"/>
            <w:gridSpan w:val="3"/>
            <w:tcBorders>
              <w:left w:val="single" w:color="auto" w:sz="4" w:space="0"/>
            </w:tcBorders>
            <w:vAlign w:val="center"/>
          </w:tcPr>
          <w:p>
            <w:pPr>
              <w:tabs>
                <w:tab w:val="clear" w:pos="426"/>
              </w:tabs>
              <w:spacing w:line="240" w:lineRule="auto"/>
              <w:rPr>
                <w:highlight w:val="none"/>
              </w:rPr>
            </w:pPr>
            <w:r>
              <w:rPr>
                <w:rFonts w:hint="eastAsia"/>
                <w:highlight w:val="none"/>
              </w:rPr>
              <w:t xml:space="preserve">评价内容为：                    </w:t>
            </w:r>
          </w:p>
          <w:p>
            <w:pPr>
              <w:tabs>
                <w:tab w:val="clear" w:pos="426"/>
              </w:tabs>
              <w:spacing w:line="240" w:lineRule="auto"/>
              <w:rPr>
                <w:highlight w:val="none"/>
              </w:rPr>
            </w:pPr>
            <w:r>
              <w:rPr>
                <w:rFonts w:hint="eastAsia"/>
                <w:highlight w:val="none"/>
              </w:rPr>
              <w:t>评价等级为：  □ 优       □ 良        □ 中         □ 差</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94" w:hRule="atLeast"/>
          <w:jc w:val="center"/>
        </w:trPr>
        <w:tc>
          <w:tcPr>
            <w:tcW w:w="1677" w:type="dxa"/>
            <w:gridSpan w:val="2"/>
            <w:vAlign w:val="center"/>
          </w:tcPr>
          <w:p>
            <w:pPr>
              <w:tabs>
                <w:tab w:val="clear" w:pos="426"/>
              </w:tabs>
              <w:spacing w:line="240" w:lineRule="auto"/>
              <w:rPr>
                <w:highlight w:val="none"/>
              </w:rPr>
            </w:pPr>
            <w:r>
              <w:rPr>
                <w:rFonts w:hint="eastAsia"/>
                <w:highlight w:val="none"/>
              </w:rPr>
              <w:t>具体情况说明</w:t>
            </w:r>
          </w:p>
        </w:tc>
        <w:tc>
          <w:tcPr>
            <w:tcW w:w="7893" w:type="dxa"/>
            <w:gridSpan w:val="4"/>
          </w:tcPr>
          <w:p>
            <w:pPr>
              <w:tabs>
                <w:tab w:val="clear" w:pos="426"/>
              </w:tabs>
              <w:spacing w:line="240" w:lineRule="auto"/>
              <w:rPr>
                <w:highlight w:val="none"/>
              </w:rPr>
            </w:pPr>
          </w:p>
          <w:p>
            <w:pPr>
              <w:tabs>
                <w:tab w:val="clear" w:pos="426"/>
              </w:tabs>
              <w:spacing w:line="240" w:lineRule="auto"/>
              <w:rPr>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1141" w:hRule="atLeast"/>
          <w:jc w:val="center"/>
        </w:trPr>
        <w:tc>
          <w:tcPr>
            <w:tcW w:w="1677" w:type="dxa"/>
            <w:gridSpan w:val="2"/>
            <w:vAlign w:val="center"/>
          </w:tcPr>
          <w:p>
            <w:pPr>
              <w:tabs>
                <w:tab w:val="clear" w:pos="426"/>
              </w:tabs>
              <w:spacing w:line="240" w:lineRule="auto"/>
              <w:rPr>
                <w:highlight w:val="none"/>
              </w:rPr>
            </w:pPr>
            <w:r>
              <w:rPr>
                <w:rFonts w:hint="eastAsia"/>
                <w:highlight w:val="none"/>
              </w:rPr>
              <w:t>采购单位意见</w:t>
            </w:r>
          </w:p>
          <w:p>
            <w:pPr>
              <w:tabs>
                <w:tab w:val="clear" w:pos="426"/>
              </w:tabs>
              <w:spacing w:line="240" w:lineRule="auto"/>
              <w:rPr>
                <w:highlight w:val="none"/>
              </w:rPr>
            </w:pPr>
            <w:r>
              <w:rPr>
                <w:rFonts w:hint="eastAsia"/>
                <w:highlight w:val="none"/>
              </w:rPr>
              <w:t>（公章）</w:t>
            </w:r>
          </w:p>
        </w:tc>
        <w:tc>
          <w:tcPr>
            <w:tcW w:w="7893" w:type="dxa"/>
            <w:gridSpan w:val="4"/>
            <w:vAlign w:val="center"/>
          </w:tcPr>
          <w:p>
            <w:pPr>
              <w:tabs>
                <w:tab w:val="clear" w:pos="426"/>
              </w:tabs>
              <w:spacing w:line="240" w:lineRule="auto"/>
              <w:rPr>
                <w:highlight w:val="none"/>
              </w:rPr>
            </w:pPr>
          </w:p>
          <w:p>
            <w:pPr>
              <w:tabs>
                <w:tab w:val="clear" w:pos="426"/>
              </w:tabs>
              <w:spacing w:line="240" w:lineRule="auto"/>
              <w:rPr>
                <w:highlight w:val="none"/>
              </w:rPr>
            </w:pPr>
          </w:p>
          <w:p>
            <w:pPr>
              <w:tabs>
                <w:tab w:val="clear" w:pos="426"/>
              </w:tabs>
              <w:spacing w:line="240" w:lineRule="auto"/>
              <w:rPr>
                <w:highlight w:val="none"/>
              </w:rPr>
            </w:pPr>
          </w:p>
          <w:p>
            <w:pPr>
              <w:tabs>
                <w:tab w:val="clear" w:pos="426"/>
              </w:tabs>
              <w:spacing w:line="240" w:lineRule="auto"/>
              <w:rPr>
                <w:highlight w:val="none"/>
              </w:rPr>
            </w:pPr>
            <w:r>
              <w:rPr>
                <w:rFonts w:hint="eastAsia"/>
                <w:highlight w:val="none"/>
              </w:rPr>
              <w:t>日期：   年   月   日</w:t>
            </w:r>
          </w:p>
        </w:tc>
      </w:tr>
    </w:tbl>
    <w:p>
      <w:pPr>
        <w:tabs>
          <w:tab w:val="clear" w:pos="426"/>
        </w:tabs>
        <w:rPr>
          <w:highlight w:val="none"/>
        </w:rPr>
      </w:pPr>
      <w:r>
        <w:rPr>
          <w:rFonts w:hint="eastAsia"/>
          <w:highlight w:val="none"/>
        </w:rPr>
        <w:t>说明：</w:t>
      </w:r>
    </w:p>
    <w:p>
      <w:pPr>
        <w:tabs>
          <w:tab w:val="clear" w:pos="426"/>
        </w:tabs>
        <w:ind w:firstLine="424" w:firstLineChars="202"/>
        <w:rPr>
          <w:highlight w:val="none"/>
        </w:rPr>
      </w:pPr>
      <w:r>
        <w:rPr>
          <w:rFonts w:hint="eastAsia"/>
          <w:highlight w:val="none"/>
        </w:rPr>
        <w:t>1、本表为采购单位向深圳市政府采购中心反映政府采购项目履约情况时所用；</w:t>
      </w:r>
    </w:p>
    <w:p>
      <w:pPr>
        <w:tabs>
          <w:tab w:val="clear" w:pos="426"/>
        </w:tabs>
        <w:ind w:firstLine="424" w:firstLineChars="202"/>
        <w:rPr>
          <w:highlight w:val="none"/>
        </w:rPr>
      </w:pPr>
      <w:r>
        <w:rPr>
          <w:rFonts w:hint="eastAsia"/>
          <w:highlight w:val="none"/>
        </w:rPr>
        <w:t>2、履约情况评价分为优、良、中、差四个等级，请在对应的框前打“√”，然后在“具体情况说明”一栏详细说明有关情况。</w:t>
      </w:r>
    </w:p>
    <w:p>
      <w:pPr>
        <w:pStyle w:val="33"/>
        <w:tabs>
          <w:tab w:val="clear" w:pos="426"/>
        </w:tabs>
        <w:rPr>
          <w:highlight w:val="none"/>
        </w:rPr>
      </w:pPr>
      <w:r>
        <w:rPr>
          <w:highlight w:val="none"/>
        </w:rPr>
        <w:br w:type="page"/>
      </w:r>
      <w:bookmarkStart w:id="70" w:name="_Toc32359"/>
      <w:bookmarkStart w:id="71" w:name="_Toc5875392"/>
      <w:r>
        <w:rPr>
          <w:rFonts w:hint="eastAsia"/>
          <w:highlight w:val="none"/>
        </w:rPr>
        <w:t>第五章投标文件格式、附件</w:t>
      </w:r>
      <w:bookmarkEnd w:id="67"/>
      <w:bookmarkEnd w:id="68"/>
      <w:bookmarkEnd w:id="70"/>
      <w:bookmarkEnd w:id="71"/>
    </w:p>
    <w:p>
      <w:pPr>
        <w:tabs>
          <w:tab w:val="clear" w:pos="426"/>
        </w:tabs>
        <w:rPr>
          <w:highlight w:val="none"/>
        </w:rPr>
      </w:pPr>
      <w:r>
        <w:rPr>
          <w:rStyle w:val="59"/>
          <w:rFonts w:hint="eastAsia" w:ascii="宋体" w:eastAsia="宋体"/>
          <w:sz w:val="24"/>
          <w:highlight w:val="none"/>
        </w:rPr>
        <w:t>特别提醒：</w:t>
      </w:r>
      <w:r>
        <w:rPr>
          <w:rFonts w:hint="eastAsia"/>
          <w:highlight w:val="none"/>
        </w:rPr>
        <w:t>投标人在编辑投标文件时，应严格按照招标文件提供的格式进行编写，因未按要求编写导致投标文件不予受理、无效标或废标的，一切后果由供应商自行承担。</w:t>
      </w:r>
    </w:p>
    <w:p>
      <w:pPr>
        <w:tabs>
          <w:tab w:val="clear" w:pos="426"/>
        </w:tabs>
        <w:rPr>
          <w:highlight w:val="none"/>
        </w:rPr>
      </w:pPr>
    </w:p>
    <w:p>
      <w:pPr>
        <w:tabs>
          <w:tab w:val="clear" w:pos="426"/>
        </w:tabs>
        <w:rPr>
          <w:highlight w:val="none"/>
        </w:rPr>
      </w:pPr>
    </w:p>
    <w:p>
      <w:pPr>
        <w:tabs>
          <w:tab w:val="clear" w:pos="426"/>
        </w:tabs>
        <w:rPr>
          <w:highlight w:val="none"/>
        </w:rPr>
      </w:pPr>
      <w:r>
        <w:rPr>
          <w:rFonts w:hint="eastAsia"/>
          <w:highlight w:val="none"/>
        </w:rPr>
        <w:t>投标文件组成：</w:t>
      </w:r>
    </w:p>
    <w:p>
      <w:pPr>
        <w:tabs>
          <w:tab w:val="clear" w:pos="426"/>
        </w:tabs>
        <w:rPr>
          <w:highlight w:val="none"/>
        </w:rPr>
      </w:pPr>
    </w:p>
    <w:p>
      <w:pPr>
        <w:tabs>
          <w:tab w:val="clear" w:pos="426"/>
        </w:tabs>
        <w:spacing w:line="240" w:lineRule="auto"/>
        <w:rPr>
          <w:highlight w:val="none"/>
        </w:rPr>
      </w:pPr>
      <w:r>
        <w:rPr>
          <w:rFonts w:hint="eastAsia"/>
          <w:highlight w:val="none"/>
        </w:rPr>
        <w:t>密封袋封条格式</w:t>
      </w:r>
    </w:p>
    <w:p>
      <w:pPr>
        <w:tabs>
          <w:tab w:val="clear" w:pos="426"/>
        </w:tabs>
        <w:spacing w:line="240" w:lineRule="auto"/>
        <w:rPr>
          <w:highlight w:val="none"/>
        </w:rPr>
      </w:pPr>
      <w:r>
        <w:rPr>
          <w:rFonts w:hint="eastAsia"/>
          <w:highlight w:val="none"/>
        </w:rPr>
        <w:t>投标文件封面格式</w:t>
      </w:r>
    </w:p>
    <w:p>
      <w:pPr>
        <w:tabs>
          <w:tab w:val="clear" w:pos="426"/>
        </w:tabs>
        <w:spacing w:line="240" w:lineRule="auto"/>
        <w:rPr>
          <w:highlight w:val="none"/>
        </w:rPr>
      </w:pPr>
      <w:r>
        <w:rPr>
          <w:rFonts w:hint="eastAsia"/>
          <w:highlight w:val="none"/>
        </w:rPr>
        <w:t>目录（目录格式自定）</w:t>
      </w:r>
    </w:p>
    <w:p>
      <w:pPr>
        <w:tabs>
          <w:tab w:val="clear" w:pos="426"/>
        </w:tabs>
        <w:spacing w:line="240" w:lineRule="auto"/>
        <w:rPr>
          <w:highlight w:val="none"/>
        </w:rPr>
      </w:pPr>
      <w:r>
        <w:rPr>
          <w:rFonts w:hint="eastAsia"/>
          <w:highlight w:val="none"/>
        </w:rPr>
        <w:t>评标指引表</w:t>
      </w:r>
    </w:p>
    <w:p>
      <w:pPr>
        <w:pStyle w:val="280"/>
        <w:numPr>
          <w:ilvl w:val="0"/>
          <w:numId w:val="26"/>
        </w:numPr>
        <w:spacing w:line="240" w:lineRule="auto"/>
        <w:ind w:left="567" w:leftChars="270" w:firstLineChars="0"/>
        <w:rPr>
          <w:highlight w:val="none"/>
        </w:rPr>
      </w:pPr>
      <w:r>
        <w:rPr>
          <w:rFonts w:hint="eastAsia"/>
          <w:highlight w:val="none"/>
        </w:rPr>
        <w:t>投标函</w:t>
      </w:r>
    </w:p>
    <w:p>
      <w:pPr>
        <w:pStyle w:val="280"/>
        <w:numPr>
          <w:ilvl w:val="0"/>
          <w:numId w:val="26"/>
        </w:numPr>
        <w:spacing w:line="240" w:lineRule="auto"/>
        <w:ind w:left="567" w:leftChars="270" w:firstLineChars="0"/>
        <w:rPr>
          <w:highlight w:val="none"/>
        </w:rPr>
      </w:pPr>
      <w:r>
        <w:rPr>
          <w:rFonts w:hint="eastAsia"/>
          <w:highlight w:val="none"/>
        </w:rPr>
        <w:t>投标保证金缴纳承诺函</w:t>
      </w:r>
    </w:p>
    <w:p>
      <w:pPr>
        <w:pStyle w:val="280"/>
        <w:numPr>
          <w:ilvl w:val="0"/>
          <w:numId w:val="26"/>
        </w:numPr>
        <w:spacing w:line="240" w:lineRule="auto"/>
        <w:ind w:left="567" w:leftChars="270" w:firstLineChars="0"/>
        <w:rPr>
          <w:highlight w:val="none"/>
        </w:rPr>
      </w:pPr>
      <w:r>
        <w:rPr>
          <w:rFonts w:hint="eastAsia"/>
          <w:highlight w:val="none"/>
        </w:rPr>
        <w:t>政府采购投标及履约承诺函</w:t>
      </w:r>
    </w:p>
    <w:p>
      <w:pPr>
        <w:pStyle w:val="280"/>
        <w:numPr>
          <w:ilvl w:val="0"/>
          <w:numId w:val="26"/>
        </w:numPr>
        <w:spacing w:line="240" w:lineRule="auto"/>
        <w:ind w:left="567" w:leftChars="270" w:firstLineChars="0"/>
        <w:rPr>
          <w:highlight w:val="none"/>
        </w:rPr>
      </w:pPr>
      <w:r>
        <w:rPr>
          <w:rFonts w:hint="eastAsia"/>
          <w:highlight w:val="none"/>
        </w:rPr>
        <w:t>法定代表人授权委托书、法定代表人证明书</w:t>
      </w:r>
    </w:p>
    <w:p>
      <w:pPr>
        <w:pStyle w:val="280"/>
        <w:numPr>
          <w:ilvl w:val="0"/>
          <w:numId w:val="26"/>
        </w:numPr>
        <w:spacing w:line="240" w:lineRule="auto"/>
        <w:ind w:left="567" w:leftChars="270" w:firstLineChars="0"/>
        <w:rPr>
          <w:highlight w:val="none"/>
        </w:rPr>
      </w:pPr>
      <w:r>
        <w:rPr>
          <w:rFonts w:hint="eastAsia"/>
          <w:highlight w:val="none"/>
        </w:rPr>
        <w:t>投标人基本情况表</w:t>
      </w:r>
    </w:p>
    <w:p>
      <w:pPr>
        <w:pStyle w:val="280"/>
        <w:numPr>
          <w:ilvl w:val="0"/>
          <w:numId w:val="26"/>
        </w:numPr>
        <w:spacing w:line="240" w:lineRule="auto"/>
        <w:ind w:left="567" w:leftChars="270" w:firstLineChars="0"/>
        <w:rPr>
          <w:highlight w:val="none"/>
        </w:rPr>
      </w:pPr>
      <w:r>
        <w:rPr>
          <w:rFonts w:hint="eastAsia"/>
          <w:highlight w:val="none"/>
        </w:rPr>
        <w:t>开标一览表（报价表）</w:t>
      </w:r>
    </w:p>
    <w:p>
      <w:pPr>
        <w:pStyle w:val="280"/>
        <w:numPr>
          <w:ilvl w:val="0"/>
          <w:numId w:val="26"/>
        </w:numPr>
        <w:spacing w:line="240" w:lineRule="auto"/>
        <w:ind w:left="567" w:leftChars="270" w:firstLineChars="0"/>
        <w:rPr>
          <w:highlight w:val="none"/>
        </w:rPr>
      </w:pPr>
      <w:r>
        <w:rPr>
          <w:rFonts w:hint="eastAsia"/>
          <w:highlight w:val="none"/>
        </w:rPr>
        <w:t>货物清单一览表</w:t>
      </w:r>
    </w:p>
    <w:p>
      <w:pPr>
        <w:pStyle w:val="280"/>
        <w:numPr>
          <w:ilvl w:val="0"/>
          <w:numId w:val="26"/>
        </w:numPr>
        <w:spacing w:line="240" w:lineRule="auto"/>
        <w:ind w:left="567" w:leftChars="270" w:firstLineChars="0"/>
        <w:rPr>
          <w:highlight w:val="none"/>
        </w:rPr>
      </w:pPr>
      <w:r>
        <w:rPr>
          <w:rFonts w:hint="eastAsia"/>
          <w:highlight w:val="none"/>
        </w:rPr>
        <w:t>总体设计方案评价</w:t>
      </w:r>
    </w:p>
    <w:p>
      <w:pPr>
        <w:pStyle w:val="280"/>
        <w:numPr>
          <w:ilvl w:val="0"/>
          <w:numId w:val="26"/>
        </w:numPr>
        <w:spacing w:line="240" w:lineRule="auto"/>
        <w:ind w:left="567" w:leftChars="270" w:firstLineChars="0"/>
        <w:rPr>
          <w:highlight w:val="none"/>
        </w:rPr>
      </w:pPr>
      <w:r>
        <w:rPr>
          <w:rFonts w:hint="eastAsia"/>
          <w:highlight w:val="none"/>
        </w:rPr>
        <w:t>软件程序深化方案</w:t>
      </w:r>
    </w:p>
    <w:p>
      <w:pPr>
        <w:pStyle w:val="280"/>
        <w:numPr>
          <w:ilvl w:val="0"/>
          <w:numId w:val="26"/>
        </w:numPr>
        <w:spacing w:line="240" w:lineRule="auto"/>
        <w:ind w:left="567" w:leftChars="270" w:firstLineChars="0"/>
        <w:rPr>
          <w:highlight w:val="none"/>
        </w:rPr>
      </w:pPr>
      <w:r>
        <w:rPr>
          <w:rFonts w:hint="eastAsia" w:ascii="宋体" w:hAnsi="宋体"/>
          <w:sz w:val="24"/>
          <w:highlight w:val="none"/>
        </w:rPr>
        <w:t>施工组织方案</w:t>
      </w:r>
    </w:p>
    <w:p>
      <w:pPr>
        <w:pStyle w:val="280"/>
        <w:numPr>
          <w:ilvl w:val="0"/>
          <w:numId w:val="26"/>
        </w:numPr>
        <w:spacing w:line="240" w:lineRule="auto"/>
        <w:ind w:left="567" w:leftChars="270" w:firstLineChars="0"/>
        <w:rPr>
          <w:highlight w:val="none"/>
        </w:rPr>
      </w:pPr>
      <w:r>
        <w:rPr>
          <w:szCs w:val="24"/>
          <w:highlight w:val="none"/>
        </w:rPr>
        <w:t>投标人</w:t>
      </w:r>
      <w:r>
        <w:rPr>
          <w:rFonts w:hint="eastAsia"/>
          <w:szCs w:val="24"/>
          <w:highlight w:val="none"/>
        </w:rPr>
        <w:t>技术文件资质证明</w:t>
      </w:r>
    </w:p>
    <w:p>
      <w:pPr>
        <w:pStyle w:val="280"/>
        <w:numPr>
          <w:ilvl w:val="0"/>
          <w:numId w:val="26"/>
        </w:numPr>
        <w:spacing w:line="240" w:lineRule="auto"/>
        <w:ind w:left="567" w:leftChars="270" w:firstLineChars="0"/>
        <w:rPr>
          <w:highlight w:val="none"/>
        </w:rPr>
      </w:pPr>
      <w:r>
        <w:rPr>
          <w:rFonts w:hint="eastAsia"/>
          <w:szCs w:val="24"/>
          <w:highlight w:val="none"/>
        </w:rPr>
        <w:t>扶持小微企业产品</w:t>
      </w:r>
    </w:p>
    <w:p>
      <w:pPr>
        <w:pStyle w:val="280"/>
        <w:numPr>
          <w:ilvl w:val="0"/>
          <w:numId w:val="26"/>
        </w:numPr>
        <w:spacing w:line="240" w:lineRule="auto"/>
        <w:ind w:left="567" w:leftChars="270" w:firstLineChars="0"/>
        <w:rPr>
          <w:highlight w:val="none"/>
        </w:rPr>
      </w:pPr>
      <w:r>
        <w:rPr>
          <w:rFonts w:hint="eastAsia"/>
          <w:highlight w:val="none"/>
        </w:rPr>
        <w:t>业绩</w:t>
      </w:r>
    </w:p>
    <w:p>
      <w:pPr>
        <w:pStyle w:val="280"/>
        <w:numPr>
          <w:ilvl w:val="0"/>
          <w:numId w:val="26"/>
        </w:numPr>
        <w:spacing w:line="240" w:lineRule="auto"/>
        <w:ind w:left="567" w:leftChars="270" w:firstLineChars="0"/>
        <w:rPr>
          <w:highlight w:val="none"/>
        </w:rPr>
      </w:pPr>
      <w:r>
        <w:rPr>
          <w:rFonts w:hint="eastAsia"/>
          <w:highlight w:val="none"/>
        </w:rPr>
        <w:t>服务承诺</w:t>
      </w:r>
    </w:p>
    <w:p>
      <w:pPr>
        <w:pStyle w:val="280"/>
        <w:numPr>
          <w:ilvl w:val="0"/>
          <w:numId w:val="26"/>
        </w:numPr>
        <w:spacing w:line="240" w:lineRule="auto"/>
        <w:ind w:left="567" w:leftChars="270" w:firstLineChars="0"/>
        <w:rPr>
          <w:highlight w:val="none"/>
        </w:rPr>
      </w:pPr>
      <w:r>
        <w:rPr>
          <w:rFonts w:hint="eastAsia"/>
          <w:highlight w:val="none"/>
        </w:rPr>
        <w:t>企业信誉</w:t>
      </w:r>
    </w:p>
    <w:p>
      <w:pPr>
        <w:pStyle w:val="280"/>
        <w:numPr>
          <w:ilvl w:val="0"/>
          <w:numId w:val="26"/>
        </w:numPr>
        <w:spacing w:line="240" w:lineRule="auto"/>
        <w:ind w:left="567" w:leftChars="270" w:firstLineChars="0"/>
        <w:rPr>
          <w:highlight w:val="none"/>
        </w:rPr>
      </w:pPr>
      <w:r>
        <w:rPr>
          <w:rFonts w:hint="eastAsia"/>
          <w:highlight w:val="none"/>
        </w:rPr>
        <w:t>诚信加分</w:t>
      </w:r>
    </w:p>
    <w:p>
      <w:pPr>
        <w:pStyle w:val="280"/>
        <w:numPr>
          <w:ilvl w:val="0"/>
          <w:numId w:val="26"/>
        </w:numPr>
        <w:spacing w:line="240" w:lineRule="auto"/>
        <w:ind w:left="567" w:leftChars="270" w:firstLineChars="0"/>
        <w:rPr>
          <w:highlight w:val="none"/>
        </w:rPr>
      </w:pPr>
      <w:r>
        <w:rPr>
          <w:rFonts w:hint="eastAsia"/>
          <w:color w:val="000000" w:themeColor="text1"/>
          <w:szCs w:val="24"/>
          <w:highlight w:val="none"/>
        </w:rPr>
        <w:t>商务条款偏离情况</w:t>
      </w:r>
    </w:p>
    <w:p>
      <w:pPr>
        <w:pStyle w:val="280"/>
        <w:numPr>
          <w:ilvl w:val="0"/>
          <w:numId w:val="26"/>
        </w:numPr>
        <w:spacing w:line="240" w:lineRule="auto"/>
        <w:ind w:left="567" w:leftChars="270" w:firstLineChars="0"/>
        <w:rPr>
          <w:bCs/>
          <w:highlight w:val="none"/>
        </w:rPr>
      </w:pPr>
      <w:r>
        <w:rPr>
          <w:rFonts w:hint="eastAsia"/>
          <w:bCs/>
          <w:highlight w:val="none"/>
        </w:rPr>
        <w:t>招标代理服务费承诺书</w:t>
      </w:r>
    </w:p>
    <w:p>
      <w:pPr>
        <w:pStyle w:val="280"/>
        <w:numPr>
          <w:ilvl w:val="0"/>
          <w:numId w:val="26"/>
        </w:numPr>
        <w:spacing w:line="240" w:lineRule="auto"/>
        <w:ind w:left="567" w:leftChars="270" w:firstLineChars="0"/>
        <w:rPr>
          <w:bCs/>
          <w:highlight w:val="none"/>
        </w:rPr>
      </w:pPr>
      <w:r>
        <w:rPr>
          <w:rFonts w:hint="eastAsia"/>
          <w:bCs/>
          <w:highlight w:val="none"/>
        </w:rPr>
        <w:t>招标文件要求的其他内容</w:t>
      </w:r>
    </w:p>
    <w:p>
      <w:pPr>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密封袋封条格式</w:t>
      </w:r>
    </w:p>
    <w:p>
      <w:pPr>
        <w:tabs>
          <w:tab w:val="clear" w:pos="426"/>
        </w:tabs>
        <w:jc w:val="center"/>
        <w:rPr>
          <w:sz w:val="44"/>
          <w:szCs w:val="44"/>
          <w:highlight w:val="none"/>
          <w:u w:val="single"/>
        </w:rPr>
      </w:pPr>
    </w:p>
    <w:p>
      <w:pPr>
        <w:tabs>
          <w:tab w:val="clear" w:pos="426"/>
        </w:tabs>
        <w:jc w:val="center"/>
        <w:rPr>
          <w:sz w:val="44"/>
          <w:szCs w:val="44"/>
          <w:highlight w:val="none"/>
        </w:rPr>
      </w:pPr>
      <w:r>
        <w:rPr>
          <w:rFonts w:hint="eastAsia"/>
          <w:sz w:val="44"/>
          <w:szCs w:val="44"/>
          <w:highlight w:val="none"/>
          <w:u w:val="single"/>
        </w:rPr>
        <w:t>南头中学校史馆设备及软件开发</w:t>
      </w:r>
      <w:r>
        <w:rPr>
          <w:rFonts w:hint="eastAsia"/>
          <w:sz w:val="44"/>
          <w:szCs w:val="44"/>
          <w:highlight w:val="none"/>
        </w:rPr>
        <w:t>项目</w:t>
      </w:r>
    </w:p>
    <w:p>
      <w:pPr>
        <w:tabs>
          <w:tab w:val="clear" w:pos="426"/>
        </w:tabs>
        <w:jc w:val="center"/>
        <w:rPr>
          <w:highlight w:val="none"/>
        </w:rPr>
      </w:pPr>
    </w:p>
    <w:p>
      <w:pPr>
        <w:tabs>
          <w:tab w:val="clear" w:pos="426"/>
        </w:tabs>
        <w:jc w:val="center"/>
        <w:rPr>
          <w:highlight w:val="none"/>
        </w:rPr>
      </w:pPr>
    </w:p>
    <w:p>
      <w:pPr>
        <w:tabs>
          <w:tab w:val="clear" w:pos="426"/>
        </w:tabs>
        <w:jc w:val="center"/>
        <w:rPr>
          <w:sz w:val="52"/>
          <w:szCs w:val="52"/>
          <w:highlight w:val="none"/>
        </w:rPr>
      </w:pPr>
      <w:r>
        <w:rPr>
          <w:rFonts w:hint="eastAsia"/>
          <w:sz w:val="52"/>
          <w:szCs w:val="52"/>
          <w:highlight w:val="none"/>
        </w:rPr>
        <w:t>□投标文件</w:t>
      </w:r>
    </w:p>
    <w:p>
      <w:pPr>
        <w:tabs>
          <w:tab w:val="clear" w:pos="426"/>
        </w:tabs>
        <w:jc w:val="center"/>
        <w:rPr>
          <w:sz w:val="52"/>
          <w:szCs w:val="52"/>
          <w:highlight w:val="none"/>
        </w:rPr>
      </w:pPr>
      <w:r>
        <w:rPr>
          <w:rFonts w:hint="eastAsia"/>
          <w:sz w:val="52"/>
          <w:szCs w:val="52"/>
          <w:highlight w:val="none"/>
        </w:rPr>
        <w:t>□开标信封</w:t>
      </w: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ind w:left="708" w:leftChars="337" w:right="706" w:rightChars="336"/>
        <w:rPr>
          <w:sz w:val="28"/>
          <w:szCs w:val="28"/>
          <w:highlight w:val="none"/>
        </w:rPr>
      </w:pPr>
      <w:r>
        <w:rPr>
          <w:rFonts w:hint="eastAsia"/>
          <w:sz w:val="28"/>
          <w:szCs w:val="28"/>
          <w:highlight w:val="none"/>
        </w:rPr>
        <w:t>招标项目编号：</w:t>
      </w:r>
    </w:p>
    <w:p>
      <w:pPr>
        <w:tabs>
          <w:tab w:val="clear" w:pos="426"/>
        </w:tabs>
        <w:ind w:left="708" w:leftChars="337"/>
        <w:rPr>
          <w:sz w:val="28"/>
          <w:szCs w:val="28"/>
          <w:highlight w:val="none"/>
        </w:rPr>
      </w:pPr>
      <w:r>
        <w:rPr>
          <w:rFonts w:hint="eastAsia"/>
          <w:sz w:val="28"/>
          <w:szCs w:val="28"/>
          <w:highlight w:val="none"/>
        </w:rPr>
        <w:t>投标人名称（公章)：</w:t>
      </w:r>
    </w:p>
    <w:p>
      <w:pPr>
        <w:tabs>
          <w:tab w:val="clear" w:pos="426"/>
        </w:tabs>
        <w:ind w:left="708" w:leftChars="337"/>
        <w:rPr>
          <w:sz w:val="28"/>
          <w:szCs w:val="28"/>
          <w:highlight w:val="none"/>
        </w:rPr>
      </w:pPr>
      <w:r>
        <w:rPr>
          <w:rFonts w:hint="eastAsia"/>
          <w:sz w:val="28"/>
          <w:szCs w:val="28"/>
          <w:highlight w:val="none"/>
        </w:rPr>
        <w:t>投标人代表（签名）：</w:t>
      </w:r>
    </w:p>
    <w:p>
      <w:pPr>
        <w:tabs>
          <w:tab w:val="clear" w:pos="426"/>
        </w:tabs>
        <w:ind w:left="708" w:leftChars="337"/>
        <w:rPr>
          <w:sz w:val="28"/>
          <w:szCs w:val="28"/>
          <w:highlight w:val="none"/>
        </w:rPr>
      </w:pPr>
      <w:r>
        <w:rPr>
          <w:rFonts w:hint="eastAsia"/>
          <w:sz w:val="28"/>
          <w:szCs w:val="28"/>
          <w:highlight w:val="none"/>
        </w:rPr>
        <w:t>投标截止日期：</w:t>
      </w:r>
      <w:r>
        <w:rPr>
          <w:rFonts w:hint="eastAsia"/>
          <w:sz w:val="28"/>
          <w:szCs w:val="28"/>
          <w:highlight w:val="none"/>
          <w:u w:val="single"/>
        </w:rPr>
        <w:t>年月日</w:t>
      </w:r>
      <w:r>
        <w:rPr>
          <w:sz w:val="28"/>
          <w:szCs w:val="28"/>
          <w:highlight w:val="none"/>
          <w:u w:val="single"/>
        </w:rPr>
        <w:t>时分</w:t>
      </w:r>
      <w:r>
        <w:rPr>
          <w:rFonts w:hint="eastAsia"/>
          <w:sz w:val="28"/>
          <w:szCs w:val="28"/>
          <w:highlight w:val="none"/>
          <w:u w:val="single"/>
        </w:rPr>
        <w:t>（</w:t>
      </w:r>
      <w:r>
        <w:rPr>
          <w:sz w:val="28"/>
          <w:szCs w:val="28"/>
          <w:highlight w:val="none"/>
          <w:u w:val="single"/>
        </w:rPr>
        <w:t>前不得开封</w:t>
      </w:r>
      <w:r>
        <w:rPr>
          <w:rFonts w:hint="eastAsia"/>
          <w:sz w:val="28"/>
          <w:szCs w:val="28"/>
          <w:highlight w:val="none"/>
          <w:u w:val="single"/>
        </w:rPr>
        <w:t>）</w:t>
      </w:r>
    </w:p>
    <w:p>
      <w:pPr>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投标文件封面格式</w:t>
      </w:r>
    </w:p>
    <w:p>
      <w:pPr>
        <w:tabs>
          <w:tab w:val="clear" w:pos="426"/>
        </w:tabs>
        <w:jc w:val="right"/>
        <w:rPr>
          <w:sz w:val="44"/>
          <w:szCs w:val="44"/>
          <w:highlight w:val="none"/>
          <w:u w:val="single"/>
        </w:rPr>
      </w:pPr>
      <w:r>
        <w:rPr>
          <w:rFonts w:hint="eastAsia"/>
          <w:sz w:val="44"/>
          <w:szCs w:val="44"/>
          <w:highlight w:val="none"/>
          <w:u w:val="single"/>
        </w:rPr>
        <w:t>正/副本</w:t>
      </w:r>
    </w:p>
    <w:p>
      <w:pPr>
        <w:tabs>
          <w:tab w:val="clear" w:pos="426"/>
        </w:tabs>
        <w:jc w:val="center"/>
        <w:rPr>
          <w:sz w:val="44"/>
          <w:szCs w:val="44"/>
          <w:highlight w:val="none"/>
          <w:u w:val="single"/>
        </w:rPr>
      </w:pPr>
    </w:p>
    <w:p>
      <w:pPr>
        <w:tabs>
          <w:tab w:val="clear" w:pos="426"/>
        </w:tabs>
        <w:jc w:val="center"/>
        <w:rPr>
          <w:sz w:val="44"/>
          <w:szCs w:val="44"/>
          <w:highlight w:val="none"/>
        </w:rPr>
      </w:pPr>
      <w:r>
        <w:rPr>
          <w:rFonts w:hint="eastAsia"/>
          <w:sz w:val="44"/>
          <w:szCs w:val="44"/>
          <w:highlight w:val="none"/>
          <w:u w:val="single"/>
        </w:rPr>
        <w:t>南头中学校史馆设备及软件开发</w:t>
      </w:r>
      <w:r>
        <w:rPr>
          <w:rFonts w:hint="eastAsia"/>
          <w:sz w:val="44"/>
          <w:szCs w:val="44"/>
          <w:highlight w:val="none"/>
        </w:rPr>
        <w:t>项目</w:t>
      </w:r>
    </w:p>
    <w:p>
      <w:pPr>
        <w:tabs>
          <w:tab w:val="clear" w:pos="426"/>
        </w:tabs>
        <w:jc w:val="center"/>
        <w:rPr>
          <w:highlight w:val="none"/>
        </w:rPr>
      </w:pPr>
    </w:p>
    <w:p>
      <w:pPr>
        <w:tabs>
          <w:tab w:val="clear" w:pos="426"/>
        </w:tabs>
        <w:jc w:val="center"/>
        <w:rPr>
          <w:highlight w:val="none"/>
        </w:rPr>
      </w:pPr>
    </w:p>
    <w:p>
      <w:pPr>
        <w:tabs>
          <w:tab w:val="clear" w:pos="426"/>
        </w:tabs>
        <w:jc w:val="center"/>
        <w:rPr>
          <w:sz w:val="52"/>
          <w:szCs w:val="52"/>
          <w:highlight w:val="none"/>
        </w:rPr>
      </w:pPr>
      <w:r>
        <w:rPr>
          <w:rFonts w:hint="eastAsia"/>
          <w:sz w:val="52"/>
          <w:szCs w:val="52"/>
          <w:highlight w:val="none"/>
        </w:rPr>
        <w:t>投标文件</w:t>
      </w:r>
    </w:p>
    <w:p>
      <w:pPr>
        <w:tabs>
          <w:tab w:val="clear" w:pos="426"/>
        </w:tabs>
        <w:rPr>
          <w:sz w:val="52"/>
          <w:szCs w:val="52"/>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rPr>
          <w:highlight w:val="none"/>
        </w:rPr>
      </w:pPr>
    </w:p>
    <w:p>
      <w:pPr>
        <w:tabs>
          <w:tab w:val="clear" w:pos="426"/>
        </w:tabs>
        <w:ind w:left="1275" w:leftChars="607"/>
        <w:rPr>
          <w:sz w:val="28"/>
          <w:szCs w:val="28"/>
          <w:highlight w:val="none"/>
        </w:rPr>
      </w:pPr>
      <w:r>
        <w:rPr>
          <w:rFonts w:hint="eastAsia"/>
          <w:sz w:val="28"/>
          <w:szCs w:val="28"/>
          <w:highlight w:val="none"/>
        </w:rPr>
        <w:t>招标项目编号：</w:t>
      </w:r>
    </w:p>
    <w:p>
      <w:pPr>
        <w:tabs>
          <w:tab w:val="clear" w:pos="426"/>
        </w:tabs>
        <w:ind w:left="1275" w:leftChars="607"/>
        <w:rPr>
          <w:sz w:val="28"/>
          <w:szCs w:val="28"/>
          <w:highlight w:val="none"/>
        </w:rPr>
      </w:pPr>
      <w:r>
        <w:rPr>
          <w:rFonts w:hint="eastAsia"/>
          <w:sz w:val="28"/>
          <w:szCs w:val="28"/>
          <w:highlight w:val="none"/>
        </w:rPr>
        <w:t>投标人名称（公章)：</w:t>
      </w:r>
    </w:p>
    <w:p>
      <w:pPr>
        <w:tabs>
          <w:tab w:val="clear" w:pos="426"/>
        </w:tabs>
        <w:ind w:left="1275" w:leftChars="607"/>
        <w:rPr>
          <w:sz w:val="28"/>
          <w:szCs w:val="28"/>
          <w:highlight w:val="none"/>
        </w:rPr>
      </w:pPr>
      <w:r>
        <w:rPr>
          <w:rFonts w:hint="eastAsia"/>
          <w:sz w:val="28"/>
          <w:szCs w:val="28"/>
          <w:highlight w:val="none"/>
        </w:rPr>
        <w:t>投标人代表（签名）：</w:t>
      </w:r>
    </w:p>
    <w:p>
      <w:pPr>
        <w:tabs>
          <w:tab w:val="clear" w:pos="426"/>
        </w:tabs>
        <w:ind w:left="1275" w:leftChars="607"/>
        <w:rPr>
          <w:sz w:val="28"/>
          <w:szCs w:val="28"/>
          <w:highlight w:val="none"/>
        </w:rPr>
      </w:pPr>
      <w:r>
        <w:rPr>
          <w:rFonts w:hint="eastAsia"/>
          <w:sz w:val="28"/>
          <w:szCs w:val="28"/>
          <w:highlight w:val="none"/>
        </w:rPr>
        <w:t>投标日期：</w:t>
      </w:r>
      <w:r>
        <w:rPr>
          <w:rFonts w:hint="eastAsia"/>
          <w:sz w:val="28"/>
          <w:szCs w:val="28"/>
          <w:highlight w:val="none"/>
          <w:u w:val="single"/>
        </w:rPr>
        <w:t xml:space="preserve">                  年     月      日</w:t>
      </w:r>
    </w:p>
    <w:p>
      <w:pPr>
        <w:tabs>
          <w:tab w:val="clear" w:pos="426"/>
        </w:tabs>
        <w:rPr>
          <w:highlight w:val="none"/>
        </w:rPr>
      </w:pPr>
    </w:p>
    <w:p>
      <w:pPr>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投标文件目录（目录格式自定）</w:t>
      </w:r>
    </w:p>
    <w:p>
      <w:pPr>
        <w:tabs>
          <w:tab w:val="clear" w:pos="426"/>
        </w:tabs>
        <w:rPr>
          <w:highlight w:val="none"/>
        </w:rPr>
      </w:pPr>
      <w:r>
        <w:rPr>
          <w:rFonts w:hint="eastAsia"/>
          <w:highlight w:val="none"/>
        </w:rPr>
        <w:t>按照招标文件的要求编制投标文件相应内容，请标明各部分内容的页码。</w:t>
      </w:r>
    </w:p>
    <w:p>
      <w:pPr>
        <w:tabs>
          <w:tab w:val="clear" w:pos="426"/>
        </w:tabs>
        <w:rPr>
          <w:highlight w:val="none"/>
        </w:rPr>
      </w:pPr>
    </w:p>
    <w:p>
      <w:pPr>
        <w:tabs>
          <w:tab w:val="clear" w:pos="426"/>
        </w:tabs>
        <w:rPr>
          <w:highlight w:val="none"/>
        </w:rPr>
      </w:pPr>
    </w:p>
    <w:p>
      <w:pPr>
        <w:tabs>
          <w:tab w:val="clear" w:pos="426"/>
        </w:tabs>
        <w:adjustRightInd/>
        <w:snapToGrid/>
        <w:spacing w:before="280" w:after="290" w:line="377" w:lineRule="auto"/>
        <w:jc w:val="center"/>
        <w:outlineLvl w:val="2"/>
        <w:rPr>
          <w:b/>
          <w:sz w:val="24"/>
          <w:highlight w:val="none"/>
        </w:rPr>
      </w:pPr>
      <w:r>
        <w:rPr>
          <w:highlight w:val="none"/>
        </w:rPr>
        <w:br w:type="page"/>
      </w:r>
      <w:r>
        <w:rPr>
          <w:rFonts w:hint="eastAsia"/>
          <w:b/>
          <w:sz w:val="24"/>
          <w:highlight w:val="none"/>
        </w:rPr>
        <w:t>评标指引表</w:t>
      </w:r>
    </w:p>
    <w:p>
      <w:pPr>
        <w:tabs>
          <w:tab w:val="clear" w:pos="426"/>
        </w:tabs>
        <w:jc w:val="center"/>
        <w:rPr>
          <w:b/>
          <w:highlight w:val="none"/>
        </w:rPr>
      </w:pPr>
      <w:r>
        <w:rPr>
          <w:rFonts w:hint="eastAsia"/>
          <w:b/>
          <w:highlight w:val="none"/>
        </w:rPr>
        <w:t>（置于投标文件的首页）</w:t>
      </w:r>
    </w:p>
    <w:p>
      <w:pPr>
        <w:tabs>
          <w:tab w:val="clear" w:pos="426"/>
        </w:tabs>
        <w:ind w:firstLine="420" w:firstLineChars="200"/>
        <w:rPr>
          <w:highlight w:val="none"/>
        </w:rPr>
      </w:pPr>
      <w:r>
        <w:rPr>
          <w:rFonts w:hint="eastAsia"/>
          <w:szCs w:val="21"/>
          <w:highlight w:val="none"/>
        </w:rPr>
        <w:t>为方便参与该项目的评委专家的评标，快速找到评标事项与该项目投标文件所对应的位置，请投标人参照下表格式，编制本项目评标指引表。</w:t>
      </w:r>
    </w:p>
    <w:p>
      <w:pPr>
        <w:pStyle w:val="7"/>
        <w:tabs>
          <w:tab w:val="clear" w:pos="426"/>
        </w:tabs>
        <w:ind w:firstLine="0"/>
        <w:rPr>
          <w:highlight w:val="none"/>
        </w:rPr>
      </w:pPr>
      <w:r>
        <w:rPr>
          <w:rFonts w:hint="eastAsia"/>
          <w:highlight w:val="none"/>
        </w:rPr>
        <w:t>项目名称：</w:t>
      </w:r>
    </w:p>
    <w:p>
      <w:pPr>
        <w:pStyle w:val="7"/>
        <w:tabs>
          <w:tab w:val="clear" w:pos="426"/>
        </w:tabs>
        <w:ind w:firstLine="0"/>
        <w:rPr>
          <w:highlight w:val="none"/>
        </w:rPr>
      </w:pPr>
      <w:r>
        <w:rPr>
          <w:rFonts w:hint="eastAsia"/>
          <w:highlight w:val="none"/>
        </w:rPr>
        <w:t>招标项目编号：</w:t>
      </w:r>
    </w:p>
    <w:p>
      <w:pPr>
        <w:tabs>
          <w:tab w:val="clear" w:pos="426"/>
        </w:tabs>
        <w:jc w:val="center"/>
        <w:rPr>
          <w:b/>
          <w:highlight w:val="none"/>
        </w:rPr>
      </w:pPr>
      <w:r>
        <w:rPr>
          <w:rFonts w:hint="eastAsia"/>
          <w:b/>
          <w:highlight w:val="none"/>
        </w:rPr>
        <w:t>项目评标指引表</w:t>
      </w:r>
    </w:p>
    <w:tbl>
      <w:tblPr>
        <w:tblStyle w:val="44"/>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5"/>
        <w:gridCol w:w="346"/>
        <w:gridCol w:w="3857"/>
        <w:gridCol w:w="1642"/>
        <w:gridCol w:w="98"/>
        <w:gridCol w:w="1365"/>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highlight w:val="none"/>
              </w:rPr>
            </w:pPr>
            <w:r>
              <w:rPr>
                <w:rFonts w:hint="eastAsia"/>
                <w:b/>
                <w:highlight w:val="none"/>
              </w:rPr>
              <w:t>一、资格性审查指引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highlight w:val="none"/>
              </w:rPr>
            </w:pPr>
            <w:r>
              <w:rPr>
                <w:rFonts w:hint="eastAsia"/>
                <w:b/>
                <w:highlight w:val="none"/>
              </w:rPr>
              <w:t>序号</w:t>
            </w:r>
          </w:p>
        </w:tc>
        <w:tc>
          <w:tcPr>
            <w:tcW w:w="4203" w:type="dxa"/>
            <w:gridSpan w:val="2"/>
            <w:vAlign w:val="center"/>
          </w:tcPr>
          <w:p>
            <w:pPr>
              <w:tabs>
                <w:tab w:val="clear" w:pos="426"/>
              </w:tabs>
              <w:adjustRightInd/>
              <w:snapToGrid/>
              <w:spacing w:line="240" w:lineRule="auto"/>
              <w:jc w:val="center"/>
              <w:rPr>
                <w:b/>
                <w:highlight w:val="none"/>
              </w:rPr>
            </w:pPr>
            <w:r>
              <w:rPr>
                <w:rFonts w:hint="eastAsia"/>
                <w:b/>
                <w:highlight w:val="none"/>
              </w:rPr>
              <w:t>资格性审查项目</w:t>
            </w:r>
          </w:p>
        </w:tc>
        <w:tc>
          <w:tcPr>
            <w:tcW w:w="3105" w:type="dxa"/>
            <w:gridSpan w:val="3"/>
            <w:vAlign w:val="center"/>
          </w:tcPr>
          <w:p>
            <w:pPr>
              <w:tabs>
                <w:tab w:val="clear" w:pos="426"/>
              </w:tabs>
              <w:adjustRightInd/>
              <w:snapToGrid/>
              <w:spacing w:line="240" w:lineRule="auto"/>
              <w:jc w:val="center"/>
              <w:rPr>
                <w:b/>
                <w:highlight w:val="none"/>
              </w:rPr>
            </w:pPr>
            <w:r>
              <w:rPr>
                <w:rFonts w:hint="eastAsia"/>
                <w:b/>
                <w:highlight w:val="none"/>
              </w:rPr>
              <w:t>证明文件</w:t>
            </w: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restart"/>
            <w:vAlign w:val="center"/>
          </w:tcPr>
          <w:p>
            <w:pPr>
              <w:tabs>
                <w:tab w:val="clear" w:pos="426"/>
              </w:tabs>
              <w:adjustRightInd/>
              <w:snapToGrid/>
              <w:spacing w:line="240" w:lineRule="auto"/>
              <w:jc w:val="center"/>
              <w:rPr>
                <w:b/>
                <w:highlight w:val="none"/>
              </w:rPr>
            </w:pPr>
            <w:r>
              <w:rPr>
                <w:rFonts w:hint="eastAsia"/>
                <w:b/>
                <w:highlight w:val="none"/>
              </w:rPr>
              <w:t>1</w:t>
            </w:r>
          </w:p>
        </w:tc>
        <w:tc>
          <w:tcPr>
            <w:tcW w:w="4203" w:type="dxa"/>
            <w:gridSpan w:val="2"/>
            <w:vMerge w:val="restart"/>
            <w:vAlign w:val="center"/>
          </w:tcPr>
          <w:p>
            <w:pPr>
              <w:tabs>
                <w:tab w:val="clear" w:pos="426"/>
              </w:tabs>
              <w:adjustRightInd/>
              <w:snapToGrid/>
              <w:spacing w:line="240" w:lineRule="auto"/>
              <w:jc w:val="center"/>
              <w:rPr>
                <w:b/>
                <w:highlight w:val="none"/>
              </w:rPr>
            </w:pPr>
            <w:r>
              <w:rPr>
                <w:rFonts w:hint="eastAsia"/>
                <w:color w:val="000000"/>
                <w:highlight w:val="none"/>
              </w:rPr>
              <w:t>投标人资质要求</w:t>
            </w:r>
          </w:p>
        </w:tc>
        <w:tc>
          <w:tcPr>
            <w:tcW w:w="3105" w:type="dxa"/>
            <w:gridSpan w:val="3"/>
            <w:vAlign w:val="center"/>
          </w:tcPr>
          <w:p>
            <w:pPr>
              <w:tabs>
                <w:tab w:val="clear" w:pos="426"/>
              </w:tabs>
              <w:adjustRightInd/>
              <w:snapToGrid/>
              <w:spacing w:line="240" w:lineRule="auto"/>
              <w:jc w:val="center"/>
              <w:rPr>
                <w:highlight w:val="none"/>
              </w:rPr>
            </w:pPr>
            <w:r>
              <w:rPr>
                <w:rFonts w:hint="eastAsia"/>
                <w:highlight w:val="none"/>
              </w:rPr>
              <w:t>营业执照</w:t>
            </w:r>
          </w:p>
        </w:tc>
        <w:tc>
          <w:tcPr>
            <w:tcW w:w="1397" w:type="dxa"/>
            <w:shd w:val="clear" w:color="auto" w:fill="auto"/>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highlight w:val="none"/>
              </w:rPr>
            </w:pPr>
            <w:r>
              <w:rPr>
                <w:rFonts w:hint="eastAsia"/>
                <w:highlight w:val="none"/>
              </w:rPr>
              <w:t>……</w:t>
            </w:r>
          </w:p>
        </w:tc>
        <w:tc>
          <w:tcPr>
            <w:tcW w:w="1397" w:type="dxa"/>
            <w:shd w:val="clear" w:color="auto" w:fill="auto"/>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highlight w:val="none"/>
              </w:rPr>
            </w:pPr>
            <w:r>
              <w:rPr>
                <w:rFonts w:hint="eastAsia"/>
                <w:highlight w:val="none"/>
              </w:rPr>
              <w:t>……</w:t>
            </w: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Merge w:val="continue"/>
            <w:vAlign w:val="center"/>
          </w:tcPr>
          <w:p>
            <w:pPr>
              <w:tabs>
                <w:tab w:val="clear" w:pos="426"/>
              </w:tabs>
              <w:adjustRightInd/>
              <w:snapToGrid/>
              <w:spacing w:line="240" w:lineRule="auto"/>
              <w:jc w:val="center"/>
              <w:rPr>
                <w:b/>
                <w:highlight w:val="none"/>
              </w:rPr>
            </w:pPr>
          </w:p>
        </w:tc>
        <w:tc>
          <w:tcPr>
            <w:tcW w:w="4203" w:type="dxa"/>
            <w:gridSpan w:val="2"/>
            <w:vMerge w:val="continue"/>
            <w:vAlign w:val="center"/>
          </w:tcPr>
          <w:p>
            <w:pPr>
              <w:tabs>
                <w:tab w:val="clear" w:pos="426"/>
              </w:tabs>
              <w:adjustRightInd/>
              <w:snapToGrid/>
              <w:spacing w:line="240" w:lineRule="auto"/>
              <w:jc w:val="center"/>
              <w:rPr>
                <w:color w:val="000000"/>
                <w:highlight w:val="none"/>
              </w:rPr>
            </w:pPr>
          </w:p>
        </w:tc>
        <w:tc>
          <w:tcPr>
            <w:tcW w:w="3105" w:type="dxa"/>
            <w:gridSpan w:val="3"/>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highlight w:val="none"/>
              </w:rPr>
            </w:pPr>
            <w:r>
              <w:rPr>
                <w:rFonts w:hint="eastAsia"/>
                <w:b/>
                <w:highlight w:val="none"/>
              </w:rPr>
              <w:t>2</w:t>
            </w:r>
          </w:p>
        </w:tc>
        <w:tc>
          <w:tcPr>
            <w:tcW w:w="4203" w:type="dxa"/>
            <w:gridSpan w:val="2"/>
            <w:vAlign w:val="center"/>
          </w:tcPr>
          <w:p>
            <w:pPr>
              <w:tabs>
                <w:tab w:val="clear" w:pos="426"/>
              </w:tabs>
              <w:adjustRightInd/>
              <w:snapToGrid/>
              <w:spacing w:line="240" w:lineRule="auto"/>
              <w:jc w:val="center"/>
              <w:rPr>
                <w:b/>
                <w:highlight w:val="none"/>
              </w:rPr>
            </w:pPr>
            <w:r>
              <w:rPr>
                <w:rFonts w:hint="eastAsia"/>
                <w:color w:val="000000"/>
                <w:highlight w:val="none"/>
              </w:rPr>
              <w:t>投标截止时间前投标保证金缴纳情况</w:t>
            </w:r>
          </w:p>
        </w:tc>
        <w:tc>
          <w:tcPr>
            <w:tcW w:w="3105" w:type="dxa"/>
            <w:gridSpan w:val="3"/>
            <w:vAlign w:val="center"/>
          </w:tcPr>
          <w:p>
            <w:pPr>
              <w:tabs>
                <w:tab w:val="clear" w:pos="426"/>
              </w:tabs>
              <w:adjustRightInd/>
              <w:snapToGrid/>
              <w:spacing w:line="240" w:lineRule="auto"/>
              <w:jc w:val="center"/>
              <w:rPr>
                <w:highlight w:val="none"/>
              </w:rPr>
            </w:pPr>
            <w:bookmarkStart w:id="72" w:name="_Hlk4694058"/>
            <w:r>
              <w:rPr>
                <w:rFonts w:hint="eastAsia"/>
                <w:highlight w:val="none"/>
              </w:rPr>
              <w:t>投标保证金缴纳承诺函</w:t>
            </w:r>
            <w:bookmarkEnd w:id="72"/>
          </w:p>
        </w:tc>
        <w:tc>
          <w:tcPr>
            <w:tcW w:w="1397" w:type="dxa"/>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highlight w:val="none"/>
              </w:rPr>
            </w:pPr>
            <w:r>
              <w:rPr>
                <w:rFonts w:hint="eastAsia"/>
                <w:b/>
                <w:highlight w:val="none"/>
              </w:rPr>
              <w:t>二、符合性审查指引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tabs>
                <w:tab w:val="clear" w:pos="426"/>
              </w:tabs>
              <w:adjustRightInd/>
              <w:snapToGrid/>
              <w:spacing w:line="240" w:lineRule="auto"/>
              <w:jc w:val="center"/>
              <w:rPr>
                <w:b/>
                <w:highlight w:val="none"/>
              </w:rPr>
            </w:pPr>
            <w:r>
              <w:rPr>
                <w:rFonts w:hint="eastAsia"/>
                <w:b/>
                <w:highlight w:val="none"/>
              </w:rPr>
              <w:t>序号</w:t>
            </w:r>
          </w:p>
        </w:tc>
        <w:tc>
          <w:tcPr>
            <w:tcW w:w="5943" w:type="dxa"/>
            <w:gridSpan w:val="4"/>
            <w:vAlign w:val="center"/>
          </w:tcPr>
          <w:p>
            <w:pPr>
              <w:tabs>
                <w:tab w:val="clear" w:pos="426"/>
              </w:tabs>
              <w:adjustRightInd/>
              <w:snapToGrid/>
              <w:spacing w:line="240" w:lineRule="auto"/>
              <w:jc w:val="center"/>
              <w:rPr>
                <w:b/>
                <w:highlight w:val="none"/>
              </w:rPr>
            </w:pPr>
            <w:r>
              <w:rPr>
                <w:rFonts w:hint="eastAsia"/>
                <w:b/>
                <w:highlight w:val="none"/>
              </w:rPr>
              <w:t>符合性审查项目</w:t>
            </w:r>
          </w:p>
        </w:tc>
        <w:tc>
          <w:tcPr>
            <w:tcW w:w="2762" w:type="dxa"/>
            <w:gridSpan w:val="2"/>
            <w:vAlign w:val="center"/>
          </w:tcPr>
          <w:p>
            <w:pPr>
              <w:tabs>
                <w:tab w:val="clear" w:pos="426"/>
              </w:tabs>
              <w:adjustRightInd/>
              <w:snapToGrid/>
              <w:spacing w:line="240" w:lineRule="auto"/>
              <w:jc w:val="center"/>
              <w:rPr>
                <w:b/>
                <w:highlight w:val="none"/>
              </w:rPr>
            </w:pPr>
            <w:r>
              <w:rPr>
                <w:rFonts w:hint="eastAsia"/>
                <w:b/>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未出现将一个包中的内容拆开投标；</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2</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投标文件及开标一览表按规定密封、签字、盖章</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3</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除招标文件规定允许有替代方案外，对同一项目投标时，未提供两套或两套以上的投标方案；</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4</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按招标文件所提供的样式填写</w:t>
            </w:r>
            <w:r>
              <w:rPr>
                <w:highlight w:val="none"/>
              </w:rPr>
              <w:t>《</w:t>
            </w:r>
            <w:r>
              <w:rPr>
                <w:rFonts w:hint="eastAsia"/>
                <w:highlight w:val="none"/>
              </w:rPr>
              <w:t>投标函》；按招标文件所提供的《政府采购投标及履约承诺函》进行承诺；</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4"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5</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按照招标文件规定要求签署、盖章；投标文件有法定代表人签字，签字人有法定代表人有效授权书；</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6</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投标总价或分项报价不高于财政预算限额（最高投标限价）；</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7</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不存在以下情形：</w:t>
            </w:r>
            <w:r>
              <w:rPr>
                <w:szCs w:val="21"/>
                <w:highlight w:val="none"/>
              </w:rPr>
              <w:t>同一项目出现两个及以上报价，且按规定无法确定哪个是有效报价；</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8</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不存在以下情形：评标委员会认为投标人的报价明显低于其他通过符合性审查投标人的报价，有可能影响产品质量或者不能诚信履约的，且不能在合理的时间内提供书面说明，或无法提交相关证明材料，投标人不能证明其报价合理性的；</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9</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投标文件载明的交货期未超过招标文件规定的期限；</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10</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投标文件载明的免费保修期未低于招标文件规定的期限；</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11</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所投产品、工程、服务在质量、技术、方案等方面实质性满足招标文件要求；</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12</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未出现《技术规格偏离表》或《商务需求偏离表》填写不全、不明或不实；</w:t>
            </w:r>
          </w:p>
        </w:tc>
        <w:tc>
          <w:tcPr>
            <w:tcW w:w="2762" w:type="dxa"/>
            <w:gridSpan w:val="2"/>
            <w:vAlign w:val="center"/>
          </w:tcPr>
          <w:p>
            <w:pPr>
              <w:tabs>
                <w:tab w:val="clear" w:pos="426"/>
              </w:tabs>
              <w:adjustRightInd/>
              <w:snapToGrid/>
              <w:spacing w:line="240" w:lineRule="auto"/>
              <w:jc w:val="center"/>
              <w:rPr>
                <w:b/>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13</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投标文件不存在招标文件中规定的其它投标无效条款的；</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65" w:type="dxa"/>
            <w:vAlign w:val="center"/>
          </w:tcPr>
          <w:p>
            <w:pPr>
              <w:widowControl w:val="0"/>
              <w:shd w:val="clear" w:color="auto" w:fill="auto"/>
              <w:tabs>
                <w:tab w:val="clear" w:pos="426"/>
              </w:tabs>
              <w:adjustRightInd/>
              <w:snapToGrid/>
              <w:spacing w:line="240" w:lineRule="auto"/>
              <w:jc w:val="center"/>
              <w:rPr>
                <w:highlight w:val="none"/>
              </w:rPr>
            </w:pPr>
            <w:r>
              <w:rPr>
                <w:rFonts w:hint="eastAsia"/>
                <w:highlight w:val="none"/>
              </w:rPr>
              <w:t>14</w:t>
            </w:r>
          </w:p>
        </w:tc>
        <w:tc>
          <w:tcPr>
            <w:tcW w:w="5943" w:type="dxa"/>
            <w:gridSpan w:val="4"/>
            <w:vAlign w:val="center"/>
          </w:tcPr>
          <w:p>
            <w:pPr>
              <w:tabs>
                <w:tab w:val="clear" w:pos="426"/>
              </w:tabs>
              <w:adjustRightInd/>
              <w:snapToGrid/>
              <w:spacing w:line="240" w:lineRule="auto"/>
              <w:rPr>
                <w:highlight w:val="none"/>
              </w:rPr>
            </w:pPr>
            <w:r>
              <w:rPr>
                <w:rFonts w:hint="eastAsia"/>
                <w:highlight w:val="none"/>
              </w:rPr>
              <w:t>不属于法律、法规规定的投标无效的其他情形。</w:t>
            </w:r>
          </w:p>
        </w:tc>
        <w:tc>
          <w:tcPr>
            <w:tcW w:w="2762" w:type="dxa"/>
            <w:gridSpan w:val="2"/>
            <w:vAlign w:val="center"/>
          </w:tcPr>
          <w:p>
            <w:pPr>
              <w:tabs>
                <w:tab w:val="clear" w:pos="426"/>
              </w:tabs>
              <w:adjustRightInd/>
              <w:snapToGrid/>
              <w:spacing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570" w:type="dxa"/>
            <w:gridSpan w:val="7"/>
            <w:vAlign w:val="center"/>
          </w:tcPr>
          <w:p>
            <w:pPr>
              <w:tabs>
                <w:tab w:val="clear" w:pos="426"/>
              </w:tabs>
              <w:adjustRightInd/>
              <w:snapToGrid/>
              <w:spacing w:line="240" w:lineRule="auto"/>
              <w:jc w:val="center"/>
              <w:rPr>
                <w:b/>
                <w:highlight w:val="none"/>
              </w:rPr>
            </w:pPr>
            <w:r>
              <w:rPr>
                <w:rFonts w:hint="eastAsia"/>
                <w:b/>
                <w:highlight w:val="none"/>
              </w:rPr>
              <w:t>三、综合评分指引（请根据项目评分表内容调整）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评分类别</w:t>
            </w:r>
          </w:p>
        </w:tc>
        <w:tc>
          <w:tcPr>
            <w:tcW w:w="5499" w:type="dxa"/>
            <w:gridSpan w:val="2"/>
            <w:vAlign w:val="center"/>
          </w:tcPr>
          <w:p>
            <w:pPr>
              <w:tabs>
                <w:tab w:val="clear" w:pos="426"/>
              </w:tabs>
              <w:adjustRightInd/>
              <w:snapToGrid/>
              <w:spacing w:line="240" w:lineRule="auto"/>
              <w:jc w:val="center"/>
              <w:rPr>
                <w:b/>
                <w:highlight w:val="none"/>
              </w:rPr>
            </w:pPr>
            <w:r>
              <w:rPr>
                <w:rFonts w:hint="eastAsia"/>
                <w:b/>
                <w:highlight w:val="none"/>
              </w:rPr>
              <w:t>评分项目</w:t>
            </w:r>
          </w:p>
        </w:tc>
        <w:tc>
          <w:tcPr>
            <w:tcW w:w="1463" w:type="dxa"/>
            <w:gridSpan w:val="2"/>
            <w:vAlign w:val="center"/>
          </w:tcPr>
          <w:p>
            <w:pPr>
              <w:tabs>
                <w:tab w:val="clear" w:pos="426"/>
              </w:tabs>
              <w:adjustRightInd/>
              <w:snapToGrid/>
              <w:spacing w:line="240" w:lineRule="auto"/>
              <w:jc w:val="center"/>
              <w:rPr>
                <w:b/>
                <w:highlight w:val="none"/>
              </w:rPr>
            </w:pPr>
            <w:r>
              <w:rPr>
                <w:rFonts w:hint="eastAsia"/>
                <w:b/>
                <w:highlight w:val="none"/>
              </w:rPr>
              <w:t>对应章节</w:t>
            </w: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起止页码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价格部分</w:t>
            </w:r>
          </w:p>
        </w:tc>
        <w:tc>
          <w:tcPr>
            <w:tcW w:w="5499" w:type="dxa"/>
            <w:gridSpan w:val="2"/>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P  -P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highlight w:val="none"/>
              </w:rPr>
            </w:pPr>
            <w:r>
              <w:rPr>
                <w:rFonts w:hint="eastAsia"/>
                <w:b/>
                <w:highlight w:val="none"/>
              </w:rPr>
              <w:t>技术部分</w:t>
            </w:r>
          </w:p>
        </w:tc>
        <w:tc>
          <w:tcPr>
            <w:tcW w:w="5499" w:type="dxa"/>
            <w:gridSpan w:val="2"/>
            <w:shd w:val="clear" w:color="auto" w:fill="auto"/>
            <w:vAlign w:val="center"/>
          </w:tcPr>
          <w:p>
            <w:pPr>
              <w:tabs>
                <w:tab w:val="clear" w:pos="426"/>
              </w:tabs>
              <w:adjustRightInd/>
              <w:snapToGrid/>
              <w:spacing w:line="240" w:lineRule="auto"/>
              <w:jc w:val="center"/>
              <w:rPr>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restart"/>
            <w:vAlign w:val="center"/>
          </w:tcPr>
          <w:p>
            <w:pPr>
              <w:tabs>
                <w:tab w:val="clear" w:pos="426"/>
              </w:tabs>
              <w:adjustRightInd/>
              <w:snapToGrid/>
              <w:spacing w:line="240" w:lineRule="auto"/>
              <w:jc w:val="center"/>
              <w:rPr>
                <w:b/>
                <w:highlight w:val="none"/>
              </w:rPr>
            </w:pPr>
            <w:r>
              <w:rPr>
                <w:rFonts w:hint="eastAsia"/>
                <w:b/>
                <w:highlight w:val="none"/>
              </w:rPr>
              <w:t>商务部分</w:t>
            </w: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Merge w:val="continue"/>
            <w:vAlign w:val="center"/>
          </w:tcPr>
          <w:p>
            <w:pPr>
              <w:tabs>
                <w:tab w:val="clear" w:pos="426"/>
              </w:tabs>
              <w:adjustRightInd/>
              <w:snapToGrid/>
              <w:spacing w:line="240" w:lineRule="auto"/>
              <w:jc w:val="center"/>
              <w:rPr>
                <w:b/>
                <w:highlight w:val="none"/>
              </w:rPr>
            </w:pP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w:t>
            </w: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11" w:type="dxa"/>
            <w:gridSpan w:val="2"/>
            <w:vAlign w:val="center"/>
          </w:tcPr>
          <w:p>
            <w:pPr>
              <w:tabs>
                <w:tab w:val="clear" w:pos="426"/>
              </w:tabs>
              <w:adjustRightInd/>
              <w:snapToGrid/>
              <w:spacing w:line="240" w:lineRule="auto"/>
              <w:jc w:val="center"/>
              <w:rPr>
                <w:b/>
                <w:highlight w:val="none"/>
              </w:rPr>
            </w:pPr>
            <w:r>
              <w:rPr>
                <w:rFonts w:hint="eastAsia"/>
                <w:b/>
                <w:highlight w:val="none"/>
              </w:rPr>
              <w:t>……</w:t>
            </w:r>
          </w:p>
        </w:tc>
        <w:tc>
          <w:tcPr>
            <w:tcW w:w="5499" w:type="dxa"/>
            <w:gridSpan w:val="2"/>
            <w:shd w:val="clear" w:color="auto" w:fill="auto"/>
            <w:vAlign w:val="center"/>
          </w:tcPr>
          <w:p>
            <w:pPr>
              <w:tabs>
                <w:tab w:val="clear" w:pos="426"/>
              </w:tabs>
              <w:adjustRightInd/>
              <w:snapToGrid/>
              <w:spacing w:line="240" w:lineRule="auto"/>
              <w:jc w:val="center"/>
              <w:rPr>
                <w:b/>
                <w:highlight w:val="none"/>
              </w:rPr>
            </w:pPr>
          </w:p>
        </w:tc>
        <w:tc>
          <w:tcPr>
            <w:tcW w:w="1463" w:type="dxa"/>
            <w:gridSpan w:val="2"/>
            <w:vAlign w:val="center"/>
          </w:tcPr>
          <w:p>
            <w:pPr>
              <w:tabs>
                <w:tab w:val="clear" w:pos="426"/>
              </w:tabs>
              <w:adjustRightInd/>
              <w:snapToGrid/>
              <w:spacing w:line="240" w:lineRule="auto"/>
              <w:jc w:val="center"/>
              <w:rPr>
                <w:b/>
                <w:highlight w:val="none"/>
              </w:rPr>
            </w:pPr>
          </w:p>
        </w:tc>
        <w:tc>
          <w:tcPr>
            <w:tcW w:w="1397" w:type="dxa"/>
            <w:vAlign w:val="center"/>
          </w:tcPr>
          <w:p>
            <w:pPr>
              <w:tabs>
                <w:tab w:val="clear" w:pos="426"/>
              </w:tabs>
              <w:adjustRightInd/>
              <w:snapToGrid/>
              <w:spacing w:line="240" w:lineRule="auto"/>
              <w:jc w:val="center"/>
              <w:rPr>
                <w:b/>
                <w:highlight w:val="none"/>
              </w:rPr>
            </w:pPr>
            <w:r>
              <w:rPr>
                <w:rFonts w:hint="eastAsia"/>
                <w:b/>
                <w:highlight w:val="none"/>
              </w:rPr>
              <w:t xml:space="preserve">P  -P  </w:t>
            </w:r>
          </w:p>
        </w:tc>
      </w:tr>
    </w:tbl>
    <w:p>
      <w:pPr>
        <w:tabs>
          <w:tab w:val="clear" w:pos="426"/>
        </w:tabs>
        <w:rPr>
          <w:highlight w:val="none"/>
        </w:rPr>
      </w:pPr>
      <w:r>
        <w:rPr>
          <w:rFonts w:hint="eastAsia"/>
          <w:szCs w:val="21"/>
          <w:highlight w:val="none"/>
        </w:rPr>
        <w:t>备注：对于“</w:t>
      </w:r>
      <w:r>
        <w:rPr>
          <w:rFonts w:hint="eastAsia"/>
          <w:b/>
          <w:highlight w:val="none"/>
        </w:rPr>
        <w:t>综合评分指引”</w:t>
      </w:r>
      <w:r>
        <w:rPr>
          <w:rFonts w:hint="eastAsia"/>
          <w:szCs w:val="21"/>
          <w:highlight w:val="none"/>
        </w:rPr>
        <w:t>请投标人按照</w:t>
      </w:r>
      <w:r>
        <w:rPr>
          <w:rFonts w:hint="eastAsia"/>
          <w:b/>
          <w:szCs w:val="21"/>
          <w:highlight w:val="none"/>
        </w:rPr>
        <w:t>评分细则表</w:t>
      </w:r>
      <w:r>
        <w:rPr>
          <w:rFonts w:hint="eastAsia"/>
          <w:szCs w:val="21"/>
          <w:highlight w:val="none"/>
        </w:rPr>
        <w:t>的评分要求，根据各评分项目以</w:t>
      </w:r>
      <w:r>
        <w:rPr>
          <w:rFonts w:hint="eastAsia"/>
          <w:b/>
          <w:szCs w:val="21"/>
          <w:highlight w:val="none"/>
        </w:rPr>
        <w:t>自上而下</w:t>
      </w:r>
      <w:r>
        <w:rPr>
          <w:rFonts w:hint="eastAsia"/>
          <w:szCs w:val="21"/>
          <w:highlight w:val="none"/>
        </w:rPr>
        <w:t>的顺序编制</w:t>
      </w:r>
      <w:r>
        <w:rPr>
          <w:rFonts w:hint="eastAsia"/>
          <w:highlight w:val="none"/>
        </w:rPr>
        <w:t>。因项目次序混乱而影响评标效率及评标结果者，投标人自负其责。</w:t>
      </w:r>
    </w:p>
    <w:p>
      <w:pPr>
        <w:tabs>
          <w:tab w:val="clear" w:pos="426"/>
        </w:tabs>
        <w:rPr>
          <w:highlight w:val="none"/>
        </w:rPr>
      </w:pPr>
    </w:p>
    <w:p>
      <w:pPr>
        <w:tabs>
          <w:tab w:val="clear" w:pos="426"/>
        </w:tabs>
        <w:rPr>
          <w:highlight w:val="none"/>
        </w:rPr>
      </w:pPr>
    </w:p>
    <w:p>
      <w:pPr>
        <w:tabs>
          <w:tab w:val="clear" w:pos="426"/>
        </w:tabs>
        <w:ind w:firstLine="424" w:firstLineChars="201"/>
        <w:rPr>
          <w:b/>
          <w:color w:val="000000"/>
          <w:szCs w:val="21"/>
          <w:highlight w:val="none"/>
        </w:rPr>
      </w:pPr>
    </w:p>
    <w:p>
      <w:pPr>
        <w:tabs>
          <w:tab w:val="clear" w:pos="426"/>
        </w:tabs>
        <w:ind w:firstLine="424" w:firstLineChars="201"/>
        <w:rPr>
          <w:b/>
          <w:szCs w:val="21"/>
          <w:highlight w:val="none"/>
        </w:rPr>
      </w:pPr>
    </w:p>
    <w:p>
      <w:pPr>
        <w:numPr>
          <w:ilvl w:val="0"/>
          <w:numId w:val="27"/>
        </w:numPr>
        <w:adjustRightInd/>
        <w:snapToGrid/>
        <w:spacing w:before="280" w:after="290" w:line="377" w:lineRule="auto"/>
        <w:outlineLvl w:val="2"/>
        <w:rPr>
          <w:b/>
          <w:sz w:val="24"/>
          <w:highlight w:val="none"/>
        </w:rPr>
      </w:pPr>
      <w:r>
        <w:rPr>
          <w:rFonts w:ascii="黑体" w:eastAsia="黑体"/>
          <w:bCs/>
          <w:sz w:val="28"/>
          <w:highlight w:val="none"/>
        </w:rPr>
        <w:br w:type="page"/>
      </w:r>
      <w:r>
        <w:rPr>
          <w:rFonts w:hint="eastAsia"/>
          <w:b/>
          <w:sz w:val="24"/>
          <w:highlight w:val="none"/>
        </w:rPr>
        <w:t>投标函</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73" w:name="_Toc201743120"/>
      <w:bookmarkStart w:id="74" w:name="_Toc201742865"/>
      <w:bookmarkStart w:id="75" w:name="_Toc201719122"/>
      <w:bookmarkStart w:id="76" w:name="_Toc201997950"/>
      <w:r>
        <w:rPr>
          <w:rFonts w:hint="eastAsia" w:cs="Times New Roman"/>
          <w:bCs/>
          <w:kern w:val="2"/>
          <w:sz w:val="32"/>
          <w:szCs w:val="32"/>
          <w:highlight w:val="none"/>
        </w:rPr>
        <w:t>投标函</w:t>
      </w:r>
      <w:bookmarkEnd w:id="73"/>
      <w:bookmarkEnd w:id="74"/>
      <w:bookmarkEnd w:id="75"/>
      <w:bookmarkEnd w:id="76"/>
    </w:p>
    <w:p>
      <w:pPr>
        <w:tabs>
          <w:tab w:val="clear" w:pos="426"/>
        </w:tabs>
        <w:spacing w:line="300" w:lineRule="auto"/>
        <w:rPr>
          <w:szCs w:val="21"/>
          <w:highlight w:val="none"/>
        </w:rPr>
      </w:pPr>
    </w:p>
    <w:p>
      <w:pPr>
        <w:spacing w:line="300" w:lineRule="auto"/>
        <w:rPr>
          <w:sz w:val="22"/>
          <w:szCs w:val="22"/>
          <w:highlight w:val="none"/>
        </w:rPr>
      </w:pPr>
      <w:r>
        <w:rPr>
          <w:rFonts w:hint="eastAsia"/>
          <w:sz w:val="22"/>
          <w:szCs w:val="22"/>
          <w:highlight w:val="none"/>
        </w:rPr>
        <w:t>致：</w:t>
      </w:r>
      <w:r>
        <w:rPr>
          <w:rFonts w:hint="eastAsia"/>
          <w:sz w:val="22"/>
          <w:szCs w:val="22"/>
          <w:highlight w:val="none"/>
          <w:u w:val="single"/>
        </w:rPr>
        <w:t xml:space="preserve">       （采购人名称)          </w:t>
      </w:r>
    </w:p>
    <w:p>
      <w:pPr>
        <w:spacing w:line="300" w:lineRule="auto"/>
        <w:rPr>
          <w:sz w:val="22"/>
          <w:szCs w:val="22"/>
          <w:highlight w:val="none"/>
        </w:rPr>
      </w:pPr>
      <w:r>
        <w:rPr>
          <w:rFonts w:hint="eastAsia"/>
          <w:sz w:val="22"/>
          <w:szCs w:val="22"/>
          <w:highlight w:val="none"/>
        </w:rPr>
        <w:t>根据贵方的招标编号为</w:t>
      </w:r>
      <w:r>
        <w:rPr>
          <w:rFonts w:hint="eastAsia"/>
          <w:sz w:val="22"/>
          <w:szCs w:val="22"/>
          <w:highlight w:val="none"/>
          <w:u w:val="single"/>
        </w:rPr>
        <w:t xml:space="preserve">           </w:t>
      </w:r>
      <w:r>
        <w:rPr>
          <w:rFonts w:hint="eastAsia"/>
          <w:sz w:val="22"/>
          <w:szCs w:val="22"/>
          <w:highlight w:val="none"/>
        </w:rPr>
        <w:t>的</w:t>
      </w:r>
      <w:r>
        <w:rPr>
          <w:rFonts w:hint="eastAsia"/>
          <w:sz w:val="22"/>
          <w:szCs w:val="22"/>
          <w:highlight w:val="none"/>
          <w:u w:val="single"/>
        </w:rPr>
        <w:t xml:space="preserve">  　 （项目名称)　  </w:t>
      </w:r>
      <w:r>
        <w:rPr>
          <w:rFonts w:hint="eastAsia"/>
          <w:sz w:val="22"/>
          <w:szCs w:val="22"/>
          <w:highlight w:val="none"/>
        </w:rPr>
        <w:t>项目的招标文件及相关补遗文件，我方已详细审阅了全部招标文件及有关附件。我方完全理解并同意放弃对这方面有不明及误解的权力。据此函，我方代表（法定代表人或授权委托人）</w:t>
      </w:r>
      <w:r>
        <w:rPr>
          <w:rFonts w:hint="eastAsia"/>
          <w:sz w:val="22"/>
          <w:szCs w:val="22"/>
          <w:highlight w:val="none"/>
          <w:u w:val="single"/>
        </w:rPr>
        <w:t xml:space="preserve">        </w:t>
      </w:r>
      <w:r>
        <w:rPr>
          <w:rFonts w:hint="eastAsia"/>
          <w:sz w:val="22"/>
          <w:szCs w:val="22"/>
          <w:highlight w:val="none"/>
        </w:rPr>
        <w:t>宣布同意如下：</w:t>
      </w:r>
    </w:p>
    <w:p>
      <w:pPr>
        <w:spacing w:line="300" w:lineRule="auto"/>
        <w:rPr>
          <w:sz w:val="22"/>
          <w:szCs w:val="22"/>
          <w:highlight w:val="none"/>
        </w:rPr>
      </w:pPr>
      <w:r>
        <w:rPr>
          <w:rFonts w:hint="eastAsia"/>
          <w:sz w:val="22"/>
          <w:szCs w:val="22"/>
          <w:highlight w:val="none"/>
        </w:rPr>
        <w:t>1. 所附投标价格表中规定的应提交和交付的投标总价为：大写</w:t>
      </w:r>
      <w:r>
        <w:rPr>
          <w:rFonts w:hint="eastAsia"/>
          <w:sz w:val="22"/>
          <w:szCs w:val="22"/>
          <w:highlight w:val="none"/>
          <w:u w:val="single"/>
        </w:rPr>
        <w:t xml:space="preserve">         </w:t>
      </w:r>
      <w:r>
        <w:rPr>
          <w:rFonts w:hint="eastAsia"/>
          <w:sz w:val="22"/>
          <w:szCs w:val="22"/>
          <w:highlight w:val="none"/>
        </w:rPr>
        <w:t>，小写</w:t>
      </w:r>
      <w:r>
        <w:rPr>
          <w:rFonts w:hint="eastAsia"/>
          <w:sz w:val="22"/>
          <w:szCs w:val="22"/>
          <w:highlight w:val="none"/>
          <w:u w:val="single"/>
        </w:rPr>
        <w:t xml:space="preserve">          </w:t>
      </w:r>
      <w:r>
        <w:rPr>
          <w:rFonts w:hint="eastAsia"/>
          <w:sz w:val="22"/>
          <w:szCs w:val="22"/>
          <w:highlight w:val="none"/>
        </w:rPr>
        <w:t>，此报价已包括招标文件规定所有内容的合价。</w:t>
      </w:r>
    </w:p>
    <w:p>
      <w:pPr>
        <w:spacing w:line="300" w:lineRule="auto"/>
        <w:rPr>
          <w:sz w:val="22"/>
          <w:szCs w:val="22"/>
          <w:highlight w:val="none"/>
        </w:rPr>
      </w:pPr>
      <w:r>
        <w:rPr>
          <w:rFonts w:hint="eastAsia"/>
          <w:sz w:val="22"/>
          <w:szCs w:val="22"/>
          <w:highlight w:val="none"/>
        </w:rPr>
        <w:t>2．我方保证遵守中华人民共和国、深圳市有关法律、法规的有关规定，服从招标有关议程事项安排，遵守招标有关会议现场纪律。</w:t>
      </w:r>
    </w:p>
    <w:p>
      <w:pPr>
        <w:spacing w:line="300" w:lineRule="auto"/>
        <w:rPr>
          <w:sz w:val="22"/>
          <w:szCs w:val="22"/>
          <w:highlight w:val="none"/>
        </w:rPr>
      </w:pPr>
      <w:r>
        <w:rPr>
          <w:rFonts w:hint="eastAsia"/>
          <w:sz w:val="22"/>
          <w:szCs w:val="22"/>
          <w:highlight w:val="none"/>
        </w:rPr>
        <w:t>3. 我方已按招标文件规定的形式和金额提交投标担保。</w:t>
      </w:r>
    </w:p>
    <w:p>
      <w:pPr>
        <w:spacing w:line="300" w:lineRule="auto"/>
        <w:rPr>
          <w:sz w:val="22"/>
          <w:szCs w:val="22"/>
          <w:highlight w:val="none"/>
        </w:rPr>
      </w:pPr>
      <w:r>
        <w:rPr>
          <w:rFonts w:hint="eastAsia"/>
          <w:sz w:val="22"/>
          <w:szCs w:val="22"/>
          <w:highlight w:val="none"/>
        </w:rPr>
        <w:t>4. 我方同意所递交的投标文件在招标文件规定的投标有效期内有效，在此期间内我方的投标有可能中标，我方将受此约束。如果在投标有效期内撤回投标或放弃中标资格，我方的投标担保将全部被没收，给贵方造成的损失超过我方投标担保金额的，贵方还有权要求我方对超过部分进行赔偿。</w:t>
      </w:r>
    </w:p>
    <w:p>
      <w:pPr>
        <w:spacing w:line="300" w:lineRule="auto"/>
        <w:rPr>
          <w:sz w:val="22"/>
          <w:szCs w:val="22"/>
          <w:highlight w:val="none"/>
        </w:rPr>
      </w:pPr>
      <w:r>
        <w:rPr>
          <w:rFonts w:hint="eastAsia"/>
          <w:sz w:val="22"/>
          <w:szCs w:val="22"/>
          <w:highlight w:val="none"/>
        </w:rPr>
        <w:t>5. 如果我方中标，我方承诺的交货期（或服务期）为</w:t>
      </w:r>
      <w:r>
        <w:rPr>
          <w:rFonts w:hint="eastAsia"/>
          <w:sz w:val="22"/>
          <w:szCs w:val="22"/>
          <w:highlight w:val="none"/>
          <w:u w:val="single"/>
        </w:rPr>
        <w:t xml:space="preserve">     </w:t>
      </w:r>
      <w:r>
        <w:rPr>
          <w:rFonts w:hint="eastAsia"/>
          <w:sz w:val="22"/>
          <w:szCs w:val="22"/>
          <w:highlight w:val="none"/>
        </w:rPr>
        <w:t>天，并将按招标文件的规定履行合同责任和义务。</w:t>
      </w:r>
    </w:p>
    <w:p>
      <w:pPr>
        <w:spacing w:line="300" w:lineRule="auto"/>
        <w:rPr>
          <w:sz w:val="22"/>
          <w:szCs w:val="22"/>
          <w:highlight w:val="none"/>
        </w:rPr>
      </w:pPr>
      <w:r>
        <w:rPr>
          <w:rFonts w:hint="eastAsia"/>
          <w:sz w:val="22"/>
          <w:szCs w:val="22"/>
          <w:highlight w:val="none"/>
        </w:rPr>
        <w:t>6．如果我方中标，我方将按照招标文件规定提交由采购人认可的，并在招标文件中规定金额的履约担保。</w:t>
      </w:r>
    </w:p>
    <w:p>
      <w:pPr>
        <w:spacing w:line="300" w:lineRule="auto"/>
        <w:rPr>
          <w:sz w:val="22"/>
          <w:szCs w:val="22"/>
          <w:highlight w:val="none"/>
        </w:rPr>
      </w:pPr>
      <w:r>
        <w:rPr>
          <w:rFonts w:hint="eastAsia"/>
          <w:sz w:val="22"/>
          <w:szCs w:val="22"/>
          <w:highlight w:val="none"/>
        </w:rPr>
        <w:t>7．我方同意提供按照贵方可能要求的与其投标有关的一切数据或资料，完全理解贵方不一定接受最低价的投标或收到的任何投标。</w:t>
      </w:r>
    </w:p>
    <w:p>
      <w:pPr>
        <w:spacing w:line="300" w:lineRule="auto"/>
        <w:rPr>
          <w:sz w:val="22"/>
          <w:szCs w:val="22"/>
          <w:highlight w:val="none"/>
        </w:rPr>
      </w:pPr>
      <w:r>
        <w:rPr>
          <w:rFonts w:hint="eastAsia"/>
          <w:sz w:val="22"/>
          <w:szCs w:val="22"/>
          <w:highlight w:val="none"/>
        </w:rPr>
        <w:t>8．我方保证投标文件内容无任何虚假。若评标过程中查有虚假，同意作无效或废标处理，并被没收投标担保；若中标、签订合同之后或供货期间查有虚假，同意被废除中标资格并被没收投标担保。</w:t>
      </w:r>
    </w:p>
    <w:p>
      <w:pPr>
        <w:spacing w:line="300" w:lineRule="auto"/>
        <w:rPr>
          <w:sz w:val="22"/>
          <w:szCs w:val="22"/>
          <w:highlight w:val="none"/>
        </w:rPr>
      </w:pPr>
      <w:r>
        <w:rPr>
          <w:rFonts w:hint="eastAsia"/>
          <w:sz w:val="22"/>
          <w:szCs w:val="22"/>
          <w:highlight w:val="none"/>
        </w:rPr>
        <w:t>9.我方保证完全按照本项目招标文件 第三章的项目需求为采购人提供软件开发服务，我方将受此约束，否则视为我方违约。</w:t>
      </w:r>
    </w:p>
    <w:p>
      <w:pPr>
        <w:spacing w:line="300" w:lineRule="auto"/>
        <w:rPr>
          <w:szCs w:val="21"/>
          <w:highlight w:val="none"/>
        </w:rPr>
      </w:pPr>
      <w:r>
        <w:rPr>
          <w:rFonts w:hint="eastAsia"/>
          <w:szCs w:val="21"/>
          <w:highlight w:val="none"/>
        </w:rPr>
        <w:t>地址：</w:t>
      </w:r>
      <w:r>
        <w:rPr>
          <w:rFonts w:hint="eastAsia"/>
          <w:szCs w:val="21"/>
          <w:highlight w:val="none"/>
          <w:u w:val="single"/>
        </w:rPr>
        <w:t xml:space="preserve">                          </w:t>
      </w:r>
      <w:r>
        <w:rPr>
          <w:rFonts w:hint="eastAsia"/>
          <w:szCs w:val="21"/>
          <w:highlight w:val="none"/>
        </w:rPr>
        <w:t xml:space="preserve">  电话：</w:t>
      </w:r>
      <w:r>
        <w:rPr>
          <w:rFonts w:hint="eastAsia"/>
          <w:szCs w:val="21"/>
          <w:highlight w:val="none"/>
          <w:u w:val="single"/>
        </w:rPr>
        <w:t xml:space="preserve">                        </w:t>
      </w:r>
    </w:p>
    <w:p>
      <w:pPr>
        <w:spacing w:line="300" w:lineRule="auto"/>
        <w:rPr>
          <w:szCs w:val="21"/>
          <w:highlight w:val="none"/>
          <w:u w:val="single"/>
        </w:rPr>
      </w:pPr>
      <w:r>
        <w:rPr>
          <w:rFonts w:hint="eastAsia"/>
          <w:szCs w:val="21"/>
          <w:highlight w:val="none"/>
        </w:rPr>
        <w:t>投标人名称（公章）：</w:t>
      </w:r>
      <w:r>
        <w:rPr>
          <w:rFonts w:hint="eastAsia"/>
          <w:szCs w:val="21"/>
          <w:highlight w:val="none"/>
          <w:u w:val="single"/>
        </w:rPr>
        <w:t xml:space="preserve">                                             </w:t>
      </w:r>
    </w:p>
    <w:p>
      <w:pPr>
        <w:spacing w:line="300" w:lineRule="auto"/>
        <w:rPr>
          <w:szCs w:val="21"/>
          <w:highlight w:val="none"/>
          <w:u w:val="single"/>
        </w:rPr>
      </w:pPr>
      <w:r>
        <w:rPr>
          <w:rFonts w:hint="eastAsia"/>
          <w:szCs w:val="21"/>
          <w:highlight w:val="none"/>
        </w:rPr>
        <w:t xml:space="preserve">投标人代表（签字)： </w:t>
      </w:r>
      <w:r>
        <w:rPr>
          <w:rFonts w:hint="eastAsia"/>
          <w:szCs w:val="21"/>
          <w:highlight w:val="none"/>
          <w:u w:val="single"/>
        </w:rPr>
        <w:t xml:space="preserve">                                            </w:t>
      </w:r>
    </w:p>
    <w:p>
      <w:pPr>
        <w:spacing w:line="300" w:lineRule="auto"/>
        <w:rPr>
          <w:szCs w:val="21"/>
          <w:highlight w:val="none"/>
        </w:rPr>
      </w:pPr>
      <w:r>
        <w:rPr>
          <w:rFonts w:hint="eastAsia"/>
          <w:szCs w:val="21"/>
          <w:highlight w:val="none"/>
        </w:rPr>
        <w:t>日期：</w:t>
      </w:r>
    </w:p>
    <w:p>
      <w:pPr>
        <w:tabs>
          <w:tab w:val="clear" w:pos="426"/>
        </w:tabs>
        <w:spacing w:line="300" w:lineRule="auto"/>
        <w:rPr>
          <w:szCs w:val="21"/>
          <w:highlight w:val="none"/>
          <w:u w:val="single"/>
        </w:rPr>
      </w:pPr>
    </w:p>
    <w:p>
      <w:pPr>
        <w:tabs>
          <w:tab w:val="clear" w:pos="426"/>
        </w:tabs>
        <w:spacing w:line="300" w:lineRule="auto"/>
        <w:rPr>
          <w:highlight w:val="none"/>
        </w:rPr>
      </w:pPr>
    </w:p>
    <w:p>
      <w:pPr>
        <w:tabs>
          <w:tab w:val="clear" w:pos="426"/>
        </w:tabs>
        <w:spacing w:line="300" w:lineRule="auto"/>
        <w:rPr>
          <w:highlight w:val="none"/>
        </w:rPr>
      </w:pPr>
    </w:p>
    <w:p>
      <w:pPr>
        <w:numPr>
          <w:ilvl w:val="0"/>
          <w:numId w:val="27"/>
        </w:numPr>
        <w:adjustRightInd/>
        <w:snapToGrid/>
        <w:spacing w:before="280" w:after="290" w:line="377" w:lineRule="auto"/>
        <w:outlineLvl w:val="2"/>
        <w:rPr>
          <w:b/>
          <w:sz w:val="24"/>
          <w:highlight w:val="none"/>
        </w:rPr>
      </w:pPr>
      <w:r>
        <w:rPr>
          <w:highlight w:val="none"/>
        </w:rPr>
        <w:br w:type="page"/>
      </w:r>
      <w:r>
        <w:rPr>
          <w:rFonts w:hint="eastAsia"/>
          <w:b/>
          <w:sz w:val="24"/>
          <w:highlight w:val="none"/>
        </w:rPr>
        <w:t>投标保证金缴纳承诺函</w:t>
      </w:r>
    </w:p>
    <w:p>
      <w:pPr>
        <w:tabs>
          <w:tab w:val="clear" w:pos="426"/>
        </w:tabs>
        <w:spacing w:line="300" w:lineRule="auto"/>
        <w:jc w:val="center"/>
        <w:rPr>
          <w:highlight w:val="none"/>
        </w:rPr>
      </w:pPr>
      <w:r>
        <w:rPr>
          <w:rFonts w:hint="eastAsia" w:cs="Times New Roman"/>
          <w:bCs/>
          <w:kern w:val="2"/>
          <w:sz w:val="32"/>
          <w:szCs w:val="32"/>
          <w:highlight w:val="none"/>
        </w:rPr>
        <w:t>投标保证金缴纳承诺函</w:t>
      </w:r>
    </w:p>
    <w:p>
      <w:pPr>
        <w:tabs>
          <w:tab w:val="clear" w:pos="426"/>
        </w:tabs>
        <w:spacing w:line="300" w:lineRule="auto"/>
        <w:rPr>
          <w:highlight w:val="none"/>
        </w:rPr>
      </w:pPr>
    </w:p>
    <w:p>
      <w:pPr>
        <w:tabs>
          <w:tab w:val="clear" w:pos="426"/>
        </w:tabs>
        <w:spacing w:line="300" w:lineRule="auto"/>
        <w:rPr>
          <w:b/>
          <w:highlight w:val="none"/>
        </w:rPr>
      </w:pPr>
      <w:r>
        <w:rPr>
          <w:rFonts w:hint="eastAsia"/>
          <w:highlight w:val="none"/>
        </w:rPr>
        <w:t>深圳市深水水务咨询有限公司：</w:t>
      </w:r>
    </w:p>
    <w:p>
      <w:pPr>
        <w:tabs>
          <w:tab w:val="clear" w:pos="426"/>
        </w:tabs>
        <w:spacing w:line="300" w:lineRule="auto"/>
        <w:ind w:firstLine="420" w:firstLineChars="200"/>
        <w:rPr>
          <w:highlight w:val="none"/>
        </w:rPr>
      </w:pPr>
      <w:r>
        <w:rPr>
          <w:rFonts w:hint="eastAsia"/>
          <w:highlight w:val="none"/>
        </w:rPr>
        <w:t>本公司</w:t>
      </w:r>
      <w:r>
        <w:rPr>
          <w:rFonts w:hint="eastAsia"/>
          <w:highlight w:val="none"/>
          <w:u w:val="single"/>
        </w:rPr>
        <w:t xml:space="preserve">       (投标人名称)      </w:t>
      </w:r>
      <w:r>
        <w:rPr>
          <w:rFonts w:hint="eastAsia"/>
          <w:highlight w:val="none"/>
        </w:rPr>
        <w:t>报名参加</w:t>
      </w:r>
      <w:r>
        <w:rPr>
          <w:rFonts w:hint="eastAsia"/>
          <w:highlight w:val="none"/>
          <w:u w:val="single"/>
        </w:rPr>
        <w:t xml:space="preserve"> （项目名称）</w:t>
      </w:r>
      <w:r>
        <w:rPr>
          <w:rFonts w:hint="eastAsia"/>
          <w:highlight w:val="none"/>
        </w:rPr>
        <w:t>(招标项目编号：</w:t>
      </w:r>
      <w:r>
        <w:rPr>
          <w:rFonts w:hint="eastAsia"/>
          <w:highlight w:val="none"/>
          <w:u w:val="single"/>
        </w:rPr>
        <w:t>（项目编号）</w:t>
      </w:r>
      <w:r>
        <w:rPr>
          <w:rFonts w:hint="eastAsia"/>
          <w:highlight w:val="none"/>
        </w:rPr>
        <w:t>)的招标，我公司承诺我方已在市政府采购中心缴纳投标保证金，所缴纳的投标保证金作为本次政府采购活动的保证金。</w:t>
      </w:r>
    </w:p>
    <w:p>
      <w:pPr>
        <w:tabs>
          <w:tab w:val="clear" w:pos="426"/>
        </w:tabs>
        <w:spacing w:line="300" w:lineRule="auto"/>
        <w:ind w:firstLine="420" w:firstLineChars="200"/>
        <w:rPr>
          <w:highlight w:val="none"/>
        </w:rPr>
      </w:pPr>
      <w:r>
        <w:rPr>
          <w:rFonts w:hint="eastAsia"/>
          <w:highlight w:val="none"/>
        </w:rPr>
        <w:t>如我公司违反上款承诺，我方愿承担由此引起的一切法律责任。</w:t>
      </w:r>
    </w:p>
    <w:p>
      <w:pPr>
        <w:tabs>
          <w:tab w:val="clear" w:pos="426"/>
        </w:tabs>
        <w:spacing w:line="300" w:lineRule="auto"/>
        <w:ind w:firstLine="420" w:firstLineChars="200"/>
        <w:rPr>
          <w:highlight w:val="none"/>
        </w:rPr>
      </w:pPr>
      <w:r>
        <w:rPr>
          <w:rFonts w:hint="eastAsia"/>
          <w:highlight w:val="none"/>
        </w:rPr>
        <w:t>特此承诺!</w:t>
      </w:r>
    </w:p>
    <w:p>
      <w:pPr>
        <w:tabs>
          <w:tab w:val="clear" w:pos="426"/>
        </w:tabs>
        <w:spacing w:line="300" w:lineRule="auto"/>
        <w:ind w:firstLine="420" w:firstLineChars="200"/>
        <w:rPr>
          <w:highlight w:val="none"/>
        </w:rPr>
      </w:pPr>
    </w:p>
    <w:p>
      <w:pPr>
        <w:tabs>
          <w:tab w:val="clear" w:pos="426"/>
        </w:tabs>
        <w:spacing w:line="300" w:lineRule="auto"/>
        <w:ind w:firstLine="420" w:firstLineChars="200"/>
        <w:rPr>
          <w:highlight w:val="none"/>
        </w:rPr>
      </w:pPr>
    </w:p>
    <w:p>
      <w:pPr>
        <w:tabs>
          <w:tab w:val="clear" w:pos="426"/>
        </w:tabs>
        <w:spacing w:line="300" w:lineRule="auto"/>
        <w:ind w:firstLine="420" w:firstLineChars="200"/>
        <w:rPr>
          <w:highlight w:val="none"/>
          <w:u w:val="single"/>
        </w:rPr>
      </w:pPr>
      <w:r>
        <w:rPr>
          <w:rFonts w:hint="eastAsia"/>
          <w:highlight w:val="none"/>
        </w:rPr>
        <w:t>投标人名称(盖公章):</w:t>
      </w:r>
    </w:p>
    <w:p>
      <w:pPr>
        <w:tabs>
          <w:tab w:val="clear" w:pos="426"/>
        </w:tabs>
        <w:spacing w:line="300" w:lineRule="auto"/>
        <w:ind w:firstLine="420" w:firstLineChars="200"/>
        <w:rPr>
          <w:highlight w:val="none"/>
        </w:rPr>
      </w:pPr>
      <w:r>
        <w:rPr>
          <w:rFonts w:hint="eastAsia"/>
          <w:highlight w:val="none"/>
        </w:rPr>
        <w:t>投标人地址:</w:t>
      </w:r>
    </w:p>
    <w:p>
      <w:pPr>
        <w:tabs>
          <w:tab w:val="clear" w:pos="426"/>
        </w:tabs>
        <w:spacing w:line="300" w:lineRule="auto"/>
        <w:ind w:firstLine="420" w:firstLineChars="200"/>
        <w:rPr>
          <w:highlight w:val="none"/>
        </w:rPr>
      </w:pPr>
      <w:r>
        <w:rPr>
          <w:rFonts w:hint="eastAsia"/>
          <w:highlight w:val="none"/>
        </w:rPr>
        <w:t>电话:</w:t>
      </w:r>
    </w:p>
    <w:p>
      <w:pPr>
        <w:tabs>
          <w:tab w:val="clear" w:pos="426"/>
        </w:tabs>
        <w:spacing w:line="300" w:lineRule="auto"/>
        <w:ind w:firstLine="420" w:firstLineChars="200"/>
        <w:rPr>
          <w:highlight w:val="none"/>
          <w:u w:val="single"/>
        </w:rPr>
      </w:pPr>
      <w:r>
        <w:rPr>
          <w:rFonts w:hint="eastAsia"/>
          <w:highlight w:val="none"/>
        </w:rPr>
        <w:t>法定代表人或投标人授权代表（签名或盖章）：</w:t>
      </w:r>
    </w:p>
    <w:p>
      <w:pPr>
        <w:tabs>
          <w:tab w:val="clear" w:pos="426"/>
        </w:tabs>
        <w:spacing w:line="300" w:lineRule="auto"/>
        <w:ind w:firstLine="420" w:firstLineChars="200"/>
        <w:rPr>
          <w:highlight w:val="none"/>
          <w:u w:val="single"/>
        </w:rPr>
      </w:pPr>
      <w:r>
        <w:rPr>
          <w:rFonts w:hint="eastAsia"/>
          <w:szCs w:val="21"/>
          <w:highlight w:val="none"/>
        </w:rPr>
        <w:t>日期：</w:t>
      </w:r>
    </w:p>
    <w:p>
      <w:pPr>
        <w:tabs>
          <w:tab w:val="clear" w:pos="426"/>
        </w:tabs>
        <w:spacing w:line="300" w:lineRule="auto"/>
        <w:ind w:firstLine="420" w:firstLineChars="200"/>
        <w:rPr>
          <w:bCs/>
          <w:highlight w:val="none"/>
        </w:rPr>
      </w:pPr>
    </w:p>
    <w:p>
      <w:pPr>
        <w:tabs>
          <w:tab w:val="clear" w:pos="426"/>
        </w:tabs>
        <w:spacing w:line="300" w:lineRule="auto"/>
        <w:ind w:firstLine="420" w:firstLineChars="200"/>
        <w:rPr>
          <w:bCs/>
          <w:highlight w:val="none"/>
        </w:rPr>
      </w:pPr>
    </w:p>
    <w:p>
      <w:pPr>
        <w:tabs>
          <w:tab w:val="clear" w:pos="426"/>
        </w:tabs>
        <w:spacing w:line="300" w:lineRule="auto"/>
        <w:ind w:firstLine="420" w:firstLineChars="200"/>
        <w:rPr>
          <w:bCs/>
          <w:highlight w:val="none"/>
        </w:rPr>
      </w:pPr>
      <w:r>
        <w:rPr>
          <w:rFonts w:hint="eastAsia"/>
          <w:bCs/>
          <w:highlight w:val="none"/>
        </w:rPr>
        <w:t>备注：</w:t>
      </w:r>
    </w:p>
    <w:p>
      <w:pPr>
        <w:tabs>
          <w:tab w:val="clear" w:pos="426"/>
        </w:tabs>
        <w:spacing w:line="300" w:lineRule="auto"/>
        <w:ind w:firstLine="420" w:firstLineChars="200"/>
        <w:rPr>
          <w:bCs/>
          <w:highlight w:val="none"/>
        </w:rPr>
      </w:pPr>
      <w:r>
        <w:rPr>
          <w:rFonts w:hint="eastAsia"/>
          <w:bCs/>
          <w:highlight w:val="none"/>
        </w:rPr>
        <w:t>1.根据《中华人民共和国政府采购法实施条例》第三十三条和《深圳财政委员会关于规范政府采购项目投标保证金和履约保证金管理的通知》的规定，考虑到不少投标人经常参与投标，为提供便利，避免频繁缴纳与退还投标保证金，市政府采供中心对频繁参与投标的供应商提供便捷措施，投标保证金可实行依法按时退还或者依申请退还的方式。</w:t>
      </w:r>
    </w:p>
    <w:p>
      <w:pPr>
        <w:tabs>
          <w:tab w:val="clear" w:pos="426"/>
        </w:tabs>
        <w:spacing w:line="300" w:lineRule="auto"/>
        <w:ind w:firstLine="420" w:firstLineChars="200"/>
        <w:rPr>
          <w:bCs/>
          <w:highlight w:val="none"/>
        </w:rPr>
      </w:pPr>
      <w:r>
        <w:rPr>
          <w:rFonts w:hint="eastAsia"/>
          <w:bCs/>
          <w:highlight w:val="none"/>
        </w:rPr>
        <w:t>2.代理机构将在本项目开标前，查询投标人状态和投标保证金缴纳情况。</w:t>
      </w:r>
    </w:p>
    <w:p>
      <w:pPr>
        <w:tabs>
          <w:tab w:val="clear" w:pos="426"/>
        </w:tabs>
        <w:spacing w:line="300" w:lineRule="auto"/>
        <w:ind w:firstLine="420" w:firstLineChars="200"/>
        <w:rPr>
          <w:highlight w:val="none"/>
        </w:rPr>
      </w:pPr>
      <w:r>
        <w:rPr>
          <w:rFonts w:hint="eastAsia"/>
          <w:bCs/>
          <w:highlight w:val="none"/>
        </w:rPr>
        <w:t>3.</w:t>
      </w:r>
      <w:r>
        <w:rPr>
          <w:rFonts w:hint="eastAsia"/>
          <w:highlight w:val="none"/>
        </w:rPr>
        <w:t>若投标人投标保证金被依法不予退还，及时补交，否则投标无效。</w:t>
      </w:r>
    </w:p>
    <w:p>
      <w:pPr>
        <w:tabs>
          <w:tab w:val="clear" w:pos="426"/>
        </w:tabs>
        <w:spacing w:line="300" w:lineRule="auto"/>
        <w:rPr>
          <w:highlight w:val="none"/>
        </w:rPr>
      </w:pPr>
    </w:p>
    <w:p>
      <w:pPr>
        <w:tabs>
          <w:tab w:val="clear" w:pos="426"/>
        </w:tabs>
        <w:spacing w:line="300" w:lineRule="auto"/>
        <w:rPr>
          <w:highlight w:val="none"/>
        </w:rPr>
      </w:pPr>
    </w:p>
    <w:p>
      <w:pPr>
        <w:tabs>
          <w:tab w:val="clear" w:pos="426"/>
        </w:tabs>
        <w:spacing w:line="300" w:lineRule="auto"/>
        <w:rPr>
          <w:highlight w:val="none"/>
        </w:rPr>
      </w:pPr>
    </w:p>
    <w:p>
      <w:pPr>
        <w:numPr>
          <w:ilvl w:val="0"/>
          <w:numId w:val="27"/>
        </w:numPr>
        <w:adjustRightInd/>
        <w:snapToGrid/>
        <w:spacing w:before="280" w:after="290" w:line="377" w:lineRule="auto"/>
        <w:outlineLvl w:val="2"/>
        <w:rPr>
          <w:b/>
          <w:sz w:val="24"/>
          <w:highlight w:val="none"/>
        </w:rPr>
      </w:pPr>
      <w:r>
        <w:rPr>
          <w:b/>
          <w:highlight w:val="none"/>
        </w:rPr>
        <w:br w:type="page"/>
      </w:r>
      <w:r>
        <w:rPr>
          <w:rFonts w:hint="eastAsia"/>
          <w:b/>
          <w:sz w:val="24"/>
          <w:highlight w:val="none"/>
        </w:rPr>
        <w:t>政府采购投标及履约承诺函</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政府采购投标及履约承诺函</w:t>
      </w:r>
    </w:p>
    <w:p>
      <w:pPr>
        <w:tabs>
          <w:tab w:val="clear" w:pos="426"/>
        </w:tabs>
        <w:rPr>
          <w:highlight w:val="none"/>
        </w:rPr>
      </w:pPr>
    </w:p>
    <w:p>
      <w:pPr>
        <w:tabs>
          <w:tab w:val="clear" w:pos="426"/>
        </w:tabs>
        <w:rPr>
          <w:highlight w:val="none"/>
        </w:rPr>
      </w:pPr>
      <w:r>
        <w:rPr>
          <w:rFonts w:hint="eastAsia"/>
          <w:highlight w:val="none"/>
        </w:rPr>
        <w:t>深圳市深水水务咨询有限公司：</w:t>
      </w:r>
    </w:p>
    <w:p>
      <w:pPr>
        <w:tabs>
          <w:tab w:val="clear" w:pos="426"/>
        </w:tabs>
        <w:spacing w:beforeLines="50" w:line="240" w:lineRule="auto"/>
        <w:ind w:firstLine="424" w:firstLineChars="202"/>
        <w:rPr>
          <w:highlight w:val="none"/>
        </w:rPr>
      </w:pPr>
      <w:r>
        <w:rPr>
          <w:rFonts w:hint="eastAsia"/>
          <w:highlight w:val="none"/>
        </w:rPr>
        <w:t>关于贵公司年月日发布</w:t>
      </w:r>
      <w:r>
        <w:rPr>
          <w:rFonts w:hint="eastAsia"/>
          <w:szCs w:val="21"/>
          <w:highlight w:val="none"/>
          <w:u w:val="single"/>
        </w:rPr>
        <w:t xml:space="preserve">（项目名称) </w:t>
      </w:r>
      <w:r>
        <w:rPr>
          <w:rFonts w:hint="eastAsia"/>
          <w:highlight w:val="none"/>
        </w:rPr>
        <w:t>项目（招标项目编号：</w:t>
      </w:r>
      <w:r>
        <w:rPr>
          <w:rFonts w:hint="eastAsia"/>
          <w:highlight w:val="none"/>
          <w:u w:val="single"/>
        </w:rPr>
        <w:t xml:space="preserve">（项目编号）  </w:t>
      </w:r>
      <w:r>
        <w:rPr>
          <w:rFonts w:hint="eastAsia"/>
          <w:highlight w:val="none"/>
        </w:rPr>
        <w:t>）的采购公告，本公司（企业）愿意参加投标，并声明：</w:t>
      </w:r>
    </w:p>
    <w:p>
      <w:pPr>
        <w:tabs>
          <w:tab w:val="clear" w:pos="426"/>
        </w:tabs>
        <w:spacing w:line="240" w:lineRule="auto"/>
        <w:ind w:firstLine="424" w:firstLineChars="202"/>
        <w:rPr>
          <w:highlight w:val="none"/>
        </w:rPr>
      </w:pPr>
      <w:r>
        <w:rPr>
          <w:highlight w:val="none"/>
        </w:rPr>
        <w:t>1.我公司本招标项目所提供的货物或服务未侵犯知识产权。</w:t>
      </w:r>
    </w:p>
    <w:p>
      <w:pPr>
        <w:tabs>
          <w:tab w:val="clear" w:pos="426"/>
        </w:tabs>
        <w:spacing w:line="240" w:lineRule="auto"/>
        <w:ind w:firstLine="424" w:firstLineChars="202"/>
        <w:rPr>
          <w:highlight w:val="none"/>
        </w:rPr>
      </w:pPr>
      <w:r>
        <w:rPr>
          <w:rFonts w:hint="eastAsia"/>
          <w:highlight w:val="none"/>
        </w:rPr>
        <w:t>2.如我公司在投标文件中提供了专利证书的，我公司保证所投对应产品具有该项专利。</w:t>
      </w:r>
    </w:p>
    <w:p>
      <w:pPr>
        <w:tabs>
          <w:tab w:val="clear" w:pos="426"/>
        </w:tabs>
        <w:spacing w:line="240" w:lineRule="auto"/>
        <w:ind w:firstLine="424" w:firstLineChars="202"/>
        <w:rPr>
          <w:highlight w:val="none"/>
        </w:rPr>
      </w:pPr>
      <w:r>
        <w:rPr>
          <w:rFonts w:hint="eastAsia"/>
          <w:highlight w:val="none"/>
        </w:rPr>
        <w:t>3.我公司保证采购人拥有所投产品完整的所有权，不以保护知识产权或技术保密的名义对所有权和使用权进行任何限制。</w:t>
      </w:r>
    </w:p>
    <w:p>
      <w:pPr>
        <w:tabs>
          <w:tab w:val="clear" w:pos="426"/>
        </w:tabs>
        <w:spacing w:line="240" w:lineRule="auto"/>
        <w:ind w:firstLine="426" w:firstLineChars="202"/>
        <w:rPr>
          <w:b/>
          <w:highlight w:val="none"/>
        </w:rPr>
      </w:pPr>
      <w:r>
        <w:rPr>
          <w:rFonts w:hint="eastAsia"/>
          <w:b/>
          <w:highlight w:val="none"/>
        </w:rPr>
        <w:t>4</w:t>
      </w:r>
      <w:r>
        <w:rPr>
          <w:b/>
          <w:highlight w:val="none"/>
        </w:rPr>
        <w:t>.我公司参与本项目投标前三年内，在经营活动中没有重大违法记录。</w:t>
      </w:r>
    </w:p>
    <w:p>
      <w:pPr>
        <w:tabs>
          <w:tab w:val="clear" w:pos="426"/>
        </w:tabs>
        <w:spacing w:line="240" w:lineRule="auto"/>
        <w:ind w:firstLine="426" w:firstLineChars="202"/>
        <w:rPr>
          <w:b/>
          <w:highlight w:val="none"/>
        </w:rPr>
      </w:pPr>
      <w:r>
        <w:rPr>
          <w:rFonts w:hint="eastAsia"/>
          <w:b/>
          <w:highlight w:val="none"/>
        </w:rPr>
        <w:t>5</w:t>
      </w:r>
      <w:r>
        <w:rPr>
          <w:b/>
          <w:highlight w:val="none"/>
        </w:rPr>
        <w:t>.我公司参与本项目政府采购活动时不存在被有关部门禁止参与政府采购活动且在有效期内的情况。</w:t>
      </w:r>
    </w:p>
    <w:p>
      <w:pPr>
        <w:tabs>
          <w:tab w:val="clear" w:pos="426"/>
        </w:tabs>
        <w:spacing w:line="240" w:lineRule="auto"/>
        <w:ind w:firstLine="426" w:firstLineChars="202"/>
        <w:rPr>
          <w:b/>
          <w:highlight w:val="none"/>
        </w:rPr>
      </w:pPr>
      <w:r>
        <w:rPr>
          <w:rFonts w:hint="eastAsia"/>
          <w:b/>
          <w:highlight w:val="none"/>
        </w:rPr>
        <w:t>6</w:t>
      </w:r>
      <w:r>
        <w:rPr>
          <w:b/>
          <w:highlight w:val="none"/>
        </w:rPr>
        <w:t>.我公司具备《中华人民共和国政府采购法》第二十二条规定的资质。</w:t>
      </w:r>
    </w:p>
    <w:p>
      <w:pPr>
        <w:tabs>
          <w:tab w:val="clear" w:pos="426"/>
        </w:tabs>
        <w:spacing w:line="240" w:lineRule="auto"/>
        <w:ind w:firstLine="426" w:firstLineChars="202"/>
        <w:rPr>
          <w:b/>
          <w:highlight w:val="none"/>
        </w:rPr>
      </w:pPr>
      <w:r>
        <w:rPr>
          <w:rFonts w:hint="eastAsia"/>
          <w:b/>
          <w:highlight w:val="none"/>
        </w:rPr>
        <w:t>7</w:t>
      </w:r>
      <w:r>
        <w:rPr>
          <w:b/>
          <w:highlight w:val="none"/>
        </w:rPr>
        <w:t>.我公司未被列入失信被执行人、重大税收违法案件当事人名单、政府采购严重违法失信行为记录名单</w:t>
      </w:r>
      <w:r>
        <w:rPr>
          <w:rFonts w:hint="eastAsia"/>
          <w:b/>
          <w:highlight w:val="none"/>
        </w:rPr>
        <w:t>。</w:t>
      </w:r>
    </w:p>
    <w:p>
      <w:pPr>
        <w:tabs>
          <w:tab w:val="clear" w:pos="426"/>
        </w:tabs>
        <w:spacing w:line="240" w:lineRule="auto"/>
        <w:ind w:firstLine="426" w:firstLineChars="202"/>
        <w:rPr>
          <w:b/>
          <w:highlight w:val="none"/>
        </w:rPr>
      </w:pPr>
      <w:r>
        <w:rPr>
          <w:rFonts w:hint="eastAsia"/>
          <w:b/>
          <w:highlight w:val="none"/>
        </w:rPr>
        <w:t>8.</w:t>
      </w:r>
      <w:r>
        <w:rPr>
          <w:rFonts w:hint="eastAsia"/>
          <w:color w:val="FF0000"/>
          <w:szCs w:val="21"/>
          <w:highlight w:val="none"/>
        </w:rPr>
        <w:t xml:space="preserve"> 我公司承诺在参与本项目投标前三年内，在经营活动中没有重大违法记录，以及参与本项目政府采购活动时不存在被有关部门禁止参与政府采购活动且在有效期内的情况。</w:t>
      </w:r>
    </w:p>
    <w:p>
      <w:pPr>
        <w:tabs>
          <w:tab w:val="clear" w:pos="426"/>
        </w:tabs>
        <w:spacing w:line="240" w:lineRule="auto"/>
        <w:ind w:firstLine="424" w:firstLineChars="202"/>
        <w:rPr>
          <w:highlight w:val="none"/>
        </w:rPr>
      </w:pPr>
      <w:r>
        <w:rPr>
          <w:rFonts w:hint="eastAsia"/>
          <w:highlight w:val="none"/>
        </w:rPr>
        <w:t>9</w:t>
      </w:r>
      <w:r>
        <w:rPr>
          <w:highlight w:val="none"/>
        </w:rPr>
        <w:t>.我公司参与该项目投标，严格遵守政府采购相关法律，投标做到诚实，不造假，不围标、串标、陪标。我公司已清楚，如违反上述要求，其投标将作废，被没收投标保证金，被列入不良记录名单并在网上曝光，同时将被提请政府采购监督管理部门给予一定年限内禁止参与政府采购活动或其他处罚。</w:t>
      </w:r>
    </w:p>
    <w:p>
      <w:pPr>
        <w:tabs>
          <w:tab w:val="clear" w:pos="426"/>
        </w:tabs>
        <w:spacing w:line="240" w:lineRule="auto"/>
        <w:ind w:firstLine="424" w:firstLineChars="202"/>
        <w:rPr>
          <w:highlight w:val="none"/>
        </w:rPr>
      </w:pPr>
      <w:r>
        <w:rPr>
          <w:rFonts w:hint="eastAsia"/>
          <w:highlight w:val="none"/>
        </w:rPr>
        <w:t>10</w:t>
      </w:r>
      <w:r>
        <w:rPr>
          <w:highlight w:val="none"/>
        </w:rPr>
        <w:t>.我公司如果中标，做到守信，不偷工减料，依照本项目招标文件需求内容、签署的采购合同及本公司在投标中所作的一切承诺履约。项目验收达到全部指标合格，力争优良。</w:t>
      </w:r>
    </w:p>
    <w:p>
      <w:pPr>
        <w:tabs>
          <w:tab w:val="clear" w:pos="426"/>
        </w:tabs>
        <w:spacing w:line="240" w:lineRule="auto"/>
        <w:ind w:firstLine="424" w:firstLineChars="202"/>
        <w:rPr>
          <w:highlight w:val="none"/>
        </w:rPr>
      </w:pPr>
      <w:r>
        <w:rPr>
          <w:rFonts w:hint="eastAsia"/>
          <w:highlight w:val="none"/>
        </w:rPr>
        <w:t>11</w:t>
      </w:r>
      <w:r>
        <w:rPr>
          <w:highlight w:val="none"/>
        </w:rPr>
        <w:t>.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投标保证金将不被退还，且愿意接受主管部门的处理处罚。若我公司中标本项目，我公司的报价明显低于其他投标人的报价时，我公司清楚，本项目将成为重点监管、重点验收项目，我公司将按时保质保量完成，并全力配合有关监管、验收工</w:t>
      </w:r>
      <w:r>
        <w:rPr>
          <w:rFonts w:hint="eastAsia"/>
          <w:highlight w:val="none"/>
        </w:rPr>
        <w:t>作；若我公司未按上述要求履约，我公司愿意接受主管部门的处理处罚。</w:t>
      </w:r>
    </w:p>
    <w:p>
      <w:pPr>
        <w:tabs>
          <w:tab w:val="clear" w:pos="426"/>
        </w:tabs>
        <w:spacing w:line="240" w:lineRule="auto"/>
        <w:ind w:firstLine="424" w:firstLineChars="202"/>
        <w:rPr>
          <w:highlight w:val="none"/>
        </w:rPr>
      </w:pPr>
      <w:r>
        <w:rPr>
          <w:rFonts w:hint="eastAsia"/>
          <w:highlight w:val="none"/>
        </w:rPr>
        <w:t>12</w:t>
      </w:r>
      <w:r>
        <w:rPr>
          <w:highlight w:val="none"/>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pPr>
        <w:tabs>
          <w:tab w:val="clear" w:pos="426"/>
        </w:tabs>
        <w:spacing w:line="240" w:lineRule="auto"/>
        <w:ind w:firstLine="424" w:firstLineChars="202"/>
        <w:rPr>
          <w:highlight w:val="none"/>
        </w:rPr>
      </w:pPr>
      <w:r>
        <w:rPr>
          <w:highlight w:val="none"/>
        </w:rPr>
        <w:t>1</w:t>
      </w:r>
      <w:r>
        <w:rPr>
          <w:rFonts w:hint="eastAsia"/>
          <w:highlight w:val="none"/>
        </w:rPr>
        <w:t>3</w:t>
      </w:r>
      <w:r>
        <w:rPr>
          <w:highlight w:val="none"/>
        </w:rPr>
        <w:t>.我公司承诺不非法转包、分包。</w:t>
      </w:r>
    </w:p>
    <w:p>
      <w:pPr>
        <w:tabs>
          <w:tab w:val="clear" w:pos="426"/>
        </w:tabs>
        <w:spacing w:line="240" w:lineRule="auto"/>
        <w:ind w:firstLine="424" w:firstLineChars="202"/>
        <w:rPr>
          <w:highlight w:val="none"/>
        </w:rPr>
      </w:pPr>
      <w:r>
        <w:rPr>
          <w:rFonts w:hint="eastAsia"/>
          <w:highlight w:val="none"/>
        </w:rPr>
        <w:t>以上承诺，如有违反，愿依照国家相关法律处理，并承担由此给采购人带来的损失。</w:t>
      </w:r>
    </w:p>
    <w:p>
      <w:pPr>
        <w:tabs>
          <w:tab w:val="clear" w:pos="426"/>
        </w:tabs>
        <w:spacing w:line="240" w:lineRule="auto"/>
        <w:ind w:firstLine="420"/>
        <w:rPr>
          <w:highlight w:val="none"/>
        </w:rPr>
      </w:pPr>
      <w:r>
        <w:rPr>
          <w:rFonts w:hint="eastAsia"/>
          <w:highlight w:val="none"/>
        </w:rPr>
        <w:t>特此声明！</w:t>
      </w:r>
    </w:p>
    <w:p>
      <w:pPr>
        <w:tabs>
          <w:tab w:val="clear" w:pos="426"/>
        </w:tabs>
        <w:spacing w:line="240" w:lineRule="auto"/>
        <w:ind w:firstLine="420"/>
        <w:rPr>
          <w:highlight w:val="none"/>
        </w:rPr>
      </w:pPr>
    </w:p>
    <w:p>
      <w:pPr>
        <w:tabs>
          <w:tab w:val="clear" w:pos="426"/>
        </w:tabs>
        <w:ind w:firstLine="420"/>
        <w:rPr>
          <w:highlight w:val="none"/>
        </w:rPr>
      </w:pPr>
    </w:p>
    <w:p>
      <w:pPr>
        <w:tabs>
          <w:tab w:val="clear" w:pos="426"/>
        </w:tabs>
        <w:spacing w:line="300" w:lineRule="auto"/>
        <w:ind w:firstLine="420" w:firstLineChars="200"/>
        <w:rPr>
          <w:highlight w:val="none"/>
          <w:u w:val="single"/>
        </w:rPr>
      </w:pPr>
      <w:r>
        <w:rPr>
          <w:rFonts w:hint="eastAsia"/>
          <w:highlight w:val="none"/>
        </w:rPr>
        <w:t>投标人名称(盖公章):</w:t>
      </w:r>
    </w:p>
    <w:p>
      <w:pPr>
        <w:tabs>
          <w:tab w:val="clear" w:pos="426"/>
        </w:tabs>
        <w:spacing w:line="300" w:lineRule="auto"/>
        <w:ind w:firstLine="420" w:firstLineChars="200"/>
        <w:rPr>
          <w:highlight w:val="none"/>
        </w:rPr>
      </w:pPr>
      <w:r>
        <w:rPr>
          <w:rFonts w:hint="eastAsia"/>
          <w:highlight w:val="none"/>
        </w:rPr>
        <w:t>投标人地址:</w:t>
      </w:r>
    </w:p>
    <w:p>
      <w:pPr>
        <w:tabs>
          <w:tab w:val="clear" w:pos="426"/>
        </w:tabs>
        <w:spacing w:line="300" w:lineRule="auto"/>
        <w:ind w:firstLine="420" w:firstLineChars="200"/>
        <w:rPr>
          <w:highlight w:val="none"/>
        </w:rPr>
      </w:pPr>
      <w:r>
        <w:rPr>
          <w:rFonts w:hint="eastAsia"/>
          <w:highlight w:val="none"/>
        </w:rPr>
        <w:t>电话:</w:t>
      </w:r>
    </w:p>
    <w:p>
      <w:pPr>
        <w:tabs>
          <w:tab w:val="clear" w:pos="426"/>
        </w:tabs>
        <w:spacing w:line="300" w:lineRule="auto"/>
        <w:ind w:firstLine="420" w:firstLineChars="200"/>
        <w:rPr>
          <w:highlight w:val="none"/>
          <w:u w:val="single"/>
        </w:rPr>
      </w:pPr>
      <w:r>
        <w:rPr>
          <w:rFonts w:hint="eastAsia"/>
          <w:highlight w:val="none"/>
        </w:rPr>
        <w:t>法定代表人或投标人授权代表（签名或盖章）：</w:t>
      </w:r>
    </w:p>
    <w:p>
      <w:pPr>
        <w:tabs>
          <w:tab w:val="clear" w:pos="426"/>
        </w:tabs>
        <w:spacing w:line="300" w:lineRule="auto"/>
        <w:ind w:firstLine="420" w:firstLineChars="200"/>
        <w:rPr>
          <w:highlight w:val="none"/>
          <w:u w:val="single"/>
        </w:rPr>
      </w:pPr>
      <w:r>
        <w:rPr>
          <w:rFonts w:hint="eastAsia"/>
          <w:szCs w:val="21"/>
          <w:highlight w:val="none"/>
        </w:rPr>
        <w:t>日期：</w:t>
      </w:r>
      <w:bookmarkStart w:id="77" w:name="_Toc275865607"/>
      <w:bookmarkStart w:id="78" w:name="_Toc50736477"/>
      <w:bookmarkStart w:id="79" w:name="_Toc50737329"/>
      <w:bookmarkStart w:id="80" w:name="_Toc50737297"/>
      <w:bookmarkStart w:id="81" w:name="_Toc480754205"/>
      <w:bookmarkStart w:id="82" w:name="_Toc52165081"/>
      <w:bookmarkStart w:id="83" w:name="_Toc50691034"/>
      <w:bookmarkStart w:id="84" w:name="_Toc50737328"/>
      <w:bookmarkStart w:id="85" w:name="_Toc50737296"/>
      <w:bookmarkStart w:id="86" w:name="_Toc52165080"/>
      <w:bookmarkStart w:id="87" w:name="_Toc50736476"/>
    </w:p>
    <w:p>
      <w:pPr>
        <w:tabs>
          <w:tab w:val="clear" w:pos="426"/>
        </w:tabs>
        <w:rPr>
          <w:highlight w:val="none"/>
          <w:u w:val="single"/>
        </w:rPr>
      </w:pPr>
    </w:p>
    <w:p>
      <w:pPr>
        <w:numPr>
          <w:ilvl w:val="0"/>
          <w:numId w:val="27"/>
        </w:numPr>
        <w:adjustRightInd/>
        <w:snapToGrid/>
        <w:spacing w:before="280" w:after="290" w:line="377" w:lineRule="auto"/>
        <w:outlineLvl w:val="2"/>
        <w:rPr>
          <w:b/>
          <w:sz w:val="24"/>
          <w:highlight w:val="none"/>
        </w:rPr>
      </w:pPr>
      <w:r>
        <w:rPr>
          <w:sz w:val="28"/>
          <w:szCs w:val="28"/>
          <w:highlight w:val="none"/>
        </w:rPr>
        <w:br w:type="page"/>
      </w:r>
      <w:r>
        <w:rPr>
          <w:rFonts w:hint="eastAsia"/>
          <w:b/>
          <w:sz w:val="24"/>
          <w:highlight w:val="none"/>
        </w:rPr>
        <w:t>法定代表人授权委托书、法定代表人证明书</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法定代表人授权委托书</w:t>
      </w:r>
      <w:bookmarkEnd w:id="77"/>
      <w:bookmarkEnd w:id="78"/>
      <w:bookmarkEnd w:id="79"/>
      <w:bookmarkEnd w:id="80"/>
      <w:bookmarkEnd w:id="81"/>
      <w:bookmarkEnd w:id="82"/>
    </w:p>
    <w:p>
      <w:pPr>
        <w:pStyle w:val="24"/>
        <w:tabs>
          <w:tab w:val="clear" w:pos="426"/>
        </w:tabs>
        <w:ind w:firstLine="420" w:firstLineChars="200"/>
        <w:rPr>
          <w:highlight w:val="none"/>
        </w:rPr>
      </w:pPr>
    </w:p>
    <w:p>
      <w:pPr>
        <w:pStyle w:val="24"/>
        <w:tabs>
          <w:tab w:val="clear" w:pos="426"/>
        </w:tabs>
        <w:ind w:firstLine="420" w:firstLineChars="200"/>
        <w:rPr>
          <w:highlight w:val="none"/>
        </w:rPr>
      </w:pPr>
      <w:r>
        <w:rPr>
          <w:rFonts w:hint="eastAsia"/>
          <w:highlight w:val="none"/>
        </w:rPr>
        <w:t>本授权委托书声明：注册于</w:t>
      </w:r>
      <w:r>
        <w:rPr>
          <w:rFonts w:hint="eastAsia"/>
          <w:highlight w:val="none"/>
          <w:u w:val="single"/>
        </w:rPr>
        <w:t xml:space="preserve"> （投标人地址）  </w:t>
      </w:r>
      <w:r>
        <w:rPr>
          <w:rFonts w:hint="eastAsia"/>
          <w:highlight w:val="none"/>
        </w:rPr>
        <w:t>的</w:t>
      </w:r>
      <w:r>
        <w:rPr>
          <w:rFonts w:hint="eastAsia"/>
          <w:highlight w:val="none"/>
          <w:u w:val="single"/>
        </w:rPr>
        <w:t xml:space="preserve">  （投标人名称）    </w:t>
      </w:r>
      <w:r>
        <w:rPr>
          <w:rFonts w:hint="eastAsia"/>
          <w:highlight w:val="none"/>
        </w:rPr>
        <w:t>在下面签名的</w:t>
      </w:r>
      <w:r>
        <w:rPr>
          <w:rFonts w:hint="eastAsia"/>
          <w:highlight w:val="none"/>
          <w:u w:val="single"/>
        </w:rPr>
        <w:t>（法定代表人姓名、职务）</w:t>
      </w:r>
      <w:r>
        <w:rPr>
          <w:rFonts w:hint="eastAsia"/>
          <w:highlight w:val="none"/>
        </w:rPr>
        <w:t>在此授权</w:t>
      </w:r>
      <w:r>
        <w:rPr>
          <w:rFonts w:hint="eastAsia"/>
          <w:highlight w:val="none"/>
          <w:u w:val="single"/>
        </w:rPr>
        <w:t>（被授权人姓名、职务）</w:t>
      </w:r>
      <w:r>
        <w:rPr>
          <w:rFonts w:hint="eastAsia"/>
          <w:highlight w:val="none"/>
        </w:rPr>
        <w:t>作为我公司的合法代理人，就</w:t>
      </w:r>
      <w:r>
        <w:rPr>
          <w:rFonts w:hint="eastAsia"/>
          <w:highlight w:val="none"/>
          <w:u w:val="single"/>
        </w:rPr>
        <w:t>（项目名称、项目编号</w:t>
      </w:r>
      <w:r>
        <w:rPr>
          <w:rFonts w:hint="eastAsia"/>
          <w:highlight w:val="none"/>
        </w:rPr>
        <w:t>）的招投标活动，采购合同的签订、执行、完成和售后服务，作为投标人代表以我方的名义处理一切与之有关的事务。</w:t>
      </w:r>
    </w:p>
    <w:p>
      <w:pPr>
        <w:pStyle w:val="24"/>
        <w:tabs>
          <w:tab w:val="clear" w:pos="426"/>
        </w:tabs>
        <w:ind w:firstLine="420" w:firstLineChars="200"/>
        <w:rPr>
          <w:highlight w:val="none"/>
        </w:rPr>
      </w:pPr>
      <w:r>
        <w:rPr>
          <w:rFonts w:hint="eastAsia"/>
          <w:highlight w:val="none"/>
        </w:rPr>
        <w:t>被授权人（投标人授权代表）无转委托权限。</w:t>
      </w:r>
    </w:p>
    <w:p>
      <w:pPr>
        <w:tabs>
          <w:tab w:val="clear" w:pos="426"/>
        </w:tabs>
        <w:ind w:firstLine="420" w:firstLineChars="200"/>
        <w:rPr>
          <w:szCs w:val="21"/>
          <w:highlight w:val="none"/>
        </w:rPr>
      </w:pPr>
      <w:r>
        <w:rPr>
          <w:rFonts w:hint="eastAsia"/>
          <w:szCs w:val="21"/>
          <w:highlight w:val="none"/>
        </w:rPr>
        <w:t>本授权书自法定代表人签字之日起生效，特此声明。</w:t>
      </w:r>
    </w:p>
    <w:p>
      <w:pPr>
        <w:tabs>
          <w:tab w:val="clear" w:pos="426"/>
        </w:tabs>
        <w:ind w:firstLine="422" w:firstLineChars="200"/>
        <w:rPr>
          <w:b/>
          <w:szCs w:val="21"/>
          <w:highlight w:val="none"/>
        </w:rPr>
      </w:pPr>
      <w:r>
        <w:rPr>
          <w:rFonts w:hint="eastAsia"/>
          <w:b/>
          <w:szCs w:val="21"/>
          <w:highlight w:val="none"/>
        </w:rPr>
        <w:t>随附《法定代表人证明》</w:t>
      </w:r>
    </w:p>
    <w:p>
      <w:pPr>
        <w:tabs>
          <w:tab w:val="clear" w:pos="426"/>
        </w:tabs>
        <w:ind w:firstLine="422" w:firstLineChars="200"/>
        <w:rPr>
          <w:b/>
          <w:szCs w:val="21"/>
          <w:highlight w:val="none"/>
        </w:rPr>
      </w:pPr>
    </w:p>
    <w:p>
      <w:pPr>
        <w:tabs>
          <w:tab w:val="clear" w:pos="426"/>
        </w:tabs>
        <w:ind w:firstLine="422" w:firstLineChars="200"/>
        <w:rPr>
          <w:b/>
          <w:szCs w:val="21"/>
          <w:highlight w:val="none"/>
        </w:rPr>
      </w:pPr>
    </w:p>
    <w:p>
      <w:pPr>
        <w:tabs>
          <w:tab w:val="clear" w:pos="426"/>
        </w:tabs>
        <w:spacing w:line="300" w:lineRule="auto"/>
        <w:ind w:firstLine="420" w:firstLineChars="200"/>
        <w:rPr>
          <w:highlight w:val="none"/>
          <w:u w:val="single"/>
        </w:rPr>
      </w:pPr>
      <w:r>
        <w:rPr>
          <w:rFonts w:hint="eastAsia"/>
          <w:highlight w:val="none"/>
        </w:rPr>
        <w:t>投标人名称(盖公章):</w:t>
      </w:r>
    </w:p>
    <w:p>
      <w:pPr>
        <w:tabs>
          <w:tab w:val="clear" w:pos="426"/>
        </w:tabs>
        <w:spacing w:line="300" w:lineRule="auto"/>
        <w:ind w:firstLine="420" w:firstLineChars="200"/>
        <w:rPr>
          <w:highlight w:val="none"/>
        </w:rPr>
      </w:pPr>
      <w:r>
        <w:rPr>
          <w:rFonts w:hint="eastAsia"/>
          <w:highlight w:val="none"/>
        </w:rPr>
        <w:t>投标人地址:</w:t>
      </w:r>
    </w:p>
    <w:p>
      <w:pPr>
        <w:tabs>
          <w:tab w:val="clear" w:pos="426"/>
        </w:tabs>
        <w:spacing w:line="300" w:lineRule="auto"/>
        <w:ind w:firstLine="420" w:firstLineChars="200"/>
        <w:rPr>
          <w:highlight w:val="none"/>
        </w:rPr>
      </w:pPr>
      <w:r>
        <w:rPr>
          <w:rFonts w:hint="eastAsia"/>
          <w:highlight w:val="none"/>
        </w:rPr>
        <w:t>电话:</w:t>
      </w:r>
    </w:p>
    <w:p>
      <w:pPr>
        <w:tabs>
          <w:tab w:val="clear" w:pos="426"/>
        </w:tabs>
        <w:spacing w:line="300" w:lineRule="auto"/>
        <w:ind w:firstLine="420" w:firstLineChars="200"/>
        <w:rPr>
          <w:highlight w:val="none"/>
          <w:u w:val="single"/>
        </w:rPr>
      </w:pPr>
      <w:r>
        <w:rPr>
          <w:rFonts w:hint="eastAsia"/>
          <w:highlight w:val="none"/>
        </w:rPr>
        <w:t>法定代表人（签名或盖章）：</w:t>
      </w:r>
    </w:p>
    <w:p>
      <w:pPr>
        <w:tabs>
          <w:tab w:val="clear" w:pos="426"/>
        </w:tabs>
        <w:spacing w:line="300" w:lineRule="auto"/>
        <w:ind w:firstLine="420" w:firstLineChars="200"/>
        <w:rPr>
          <w:highlight w:val="none"/>
          <w:u w:val="single"/>
        </w:rPr>
      </w:pPr>
      <w:r>
        <w:rPr>
          <w:rFonts w:hint="eastAsia"/>
          <w:highlight w:val="none"/>
        </w:rPr>
        <w:t>投标人授权代表（签名或盖章）：</w:t>
      </w:r>
    </w:p>
    <w:p>
      <w:pPr>
        <w:tabs>
          <w:tab w:val="clear" w:pos="426"/>
        </w:tabs>
        <w:spacing w:line="300" w:lineRule="auto"/>
        <w:ind w:firstLine="420" w:firstLineChars="200"/>
        <w:rPr>
          <w:highlight w:val="none"/>
          <w:u w:val="single"/>
        </w:rPr>
      </w:pPr>
      <w:r>
        <w:rPr>
          <w:rFonts w:hint="eastAsia"/>
          <w:szCs w:val="21"/>
          <w:highlight w:val="none"/>
        </w:rPr>
        <w:t>日期：</w:t>
      </w:r>
    </w:p>
    <w:p>
      <w:pPr>
        <w:tabs>
          <w:tab w:val="clear" w:pos="426"/>
        </w:tabs>
        <w:ind w:firstLine="422" w:firstLineChars="200"/>
        <w:rPr>
          <w:b/>
          <w:szCs w:val="21"/>
          <w:highlight w:val="none"/>
        </w:rPr>
      </w:pPr>
    </w:p>
    <w:p>
      <w:pPr>
        <w:tabs>
          <w:tab w:val="clear" w:pos="426"/>
        </w:tabs>
        <w:ind w:firstLine="424" w:firstLineChars="202"/>
        <w:rPr>
          <w:szCs w:val="21"/>
          <w:highlight w:val="none"/>
        </w:rPr>
      </w:pPr>
    </w:p>
    <w:p>
      <w:pPr>
        <w:tabs>
          <w:tab w:val="clear" w:pos="426"/>
        </w:tabs>
        <w:ind w:firstLine="424" w:firstLineChars="202"/>
        <w:rPr>
          <w:szCs w:val="21"/>
          <w:highlight w:val="none"/>
        </w:rPr>
      </w:pPr>
      <w:r>
        <w:rPr>
          <w:rFonts w:hint="eastAsia"/>
          <w:szCs w:val="21"/>
          <w:highlight w:val="none"/>
        </w:rPr>
        <w:t>附：被授权人身份证复印件：</w:t>
      </w:r>
    </w:p>
    <w:p>
      <w:pPr>
        <w:tabs>
          <w:tab w:val="clear" w:pos="426"/>
        </w:tabs>
        <w:ind w:firstLine="424" w:firstLineChars="202"/>
        <w:rPr>
          <w:szCs w:val="21"/>
          <w:highlight w:val="none"/>
        </w:rPr>
      </w:pPr>
    </w:p>
    <w:bookmarkEnd w:id="83"/>
    <w:bookmarkEnd w:id="84"/>
    <w:bookmarkEnd w:id="85"/>
    <w:bookmarkEnd w:id="86"/>
    <w:bookmarkEnd w:id="87"/>
    <w:p>
      <w:pPr>
        <w:tabs>
          <w:tab w:val="clear" w:pos="426"/>
        </w:tabs>
        <w:spacing w:line="300" w:lineRule="auto"/>
        <w:jc w:val="center"/>
        <w:rPr>
          <w:highlight w:val="none"/>
        </w:rPr>
      </w:pPr>
      <w:r>
        <w:rPr>
          <w:highlight w:val="none"/>
        </w:rPr>
        <w:br w:type="page"/>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法定代表人证明书</w:t>
      </w:r>
    </w:p>
    <w:p>
      <w:pPr>
        <w:tabs>
          <w:tab w:val="clear" w:pos="426"/>
        </w:tabs>
        <w:spacing w:line="480" w:lineRule="auto"/>
        <w:ind w:firstLine="424" w:firstLineChars="202"/>
        <w:rPr>
          <w:highlight w:val="none"/>
          <w:u w:val="single"/>
        </w:rPr>
      </w:pPr>
    </w:p>
    <w:p>
      <w:pPr>
        <w:tabs>
          <w:tab w:val="clear" w:pos="426"/>
        </w:tabs>
        <w:spacing w:line="480" w:lineRule="auto"/>
        <w:ind w:firstLine="424" w:firstLineChars="202"/>
        <w:rPr>
          <w:highlight w:val="none"/>
        </w:rPr>
      </w:pPr>
      <w:r>
        <w:rPr>
          <w:rFonts w:hint="eastAsia"/>
          <w:highlight w:val="none"/>
          <w:u w:val="single"/>
        </w:rPr>
        <w:t>__________</w:t>
      </w:r>
      <w:r>
        <w:rPr>
          <w:rFonts w:hint="eastAsia"/>
          <w:highlight w:val="none"/>
        </w:rPr>
        <w:t>同志，现任我单位职务，为法定代表人，特此证明。</w:t>
      </w:r>
    </w:p>
    <w:p>
      <w:pPr>
        <w:tabs>
          <w:tab w:val="clear" w:pos="426"/>
        </w:tabs>
        <w:spacing w:line="480" w:lineRule="auto"/>
        <w:ind w:firstLine="424" w:firstLineChars="202"/>
        <w:rPr>
          <w:highlight w:val="none"/>
        </w:rPr>
      </w:pPr>
      <w:r>
        <w:rPr>
          <w:rFonts w:hint="eastAsia"/>
          <w:highlight w:val="none"/>
        </w:rPr>
        <w:t>本证明书自签发之日起生效，有效期与本公司投标文件中标注的投标有效期相同。</w:t>
      </w:r>
    </w:p>
    <w:p>
      <w:pPr>
        <w:tabs>
          <w:tab w:val="clear" w:pos="426"/>
        </w:tabs>
        <w:spacing w:line="480" w:lineRule="auto"/>
        <w:ind w:firstLine="424" w:firstLineChars="202"/>
        <w:rPr>
          <w:highlight w:val="none"/>
        </w:rPr>
      </w:pPr>
      <w:r>
        <w:rPr>
          <w:rFonts w:hint="eastAsia"/>
          <w:highlight w:val="none"/>
        </w:rPr>
        <w:t>附：</w:t>
      </w:r>
    </w:p>
    <w:p>
      <w:pPr>
        <w:tabs>
          <w:tab w:val="clear" w:pos="426"/>
        </w:tabs>
        <w:spacing w:line="480" w:lineRule="auto"/>
        <w:ind w:firstLine="424" w:firstLineChars="202"/>
        <w:rPr>
          <w:highlight w:val="none"/>
        </w:rPr>
      </w:pPr>
      <w:r>
        <w:rPr>
          <w:rFonts w:hint="eastAsia"/>
          <w:highlight w:val="none"/>
        </w:rPr>
        <w:t>营业执照（注册号）：</w:t>
      </w:r>
    </w:p>
    <w:p>
      <w:pPr>
        <w:tabs>
          <w:tab w:val="clear" w:pos="426"/>
        </w:tabs>
        <w:spacing w:line="480" w:lineRule="auto"/>
        <w:ind w:firstLine="424" w:firstLineChars="202"/>
        <w:rPr>
          <w:highlight w:val="none"/>
          <w:u w:val="single"/>
        </w:rPr>
      </w:pPr>
      <w:r>
        <w:rPr>
          <w:rFonts w:hint="eastAsia"/>
          <w:highlight w:val="none"/>
        </w:rPr>
        <w:t>经济性质：</w:t>
      </w:r>
    </w:p>
    <w:p>
      <w:pPr>
        <w:tabs>
          <w:tab w:val="clear" w:pos="426"/>
        </w:tabs>
        <w:spacing w:line="480" w:lineRule="auto"/>
        <w:ind w:firstLine="424" w:firstLineChars="202"/>
        <w:rPr>
          <w:highlight w:val="none"/>
          <w:u w:val="single"/>
        </w:rPr>
      </w:pPr>
      <w:r>
        <w:rPr>
          <w:rFonts w:hint="eastAsia"/>
          <w:highlight w:val="none"/>
        </w:rPr>
        <w:t>主营（产）：</w:t>
      </w:r>
    </w:p>
    <w:p>
      <w:pPr>
        <w:tabs>
          <w:tab w:val="clear" w:pos="426"/>
        </w:tabs>
        <w:spacing w:line="480" w:lineRule="auto"/>
        <w:ind w:firstLine="424" w:firstLineChars="202"/>
        <w:rPr>
          <w:highlight w:val="none"/>
          <w:u w:val="single"/>
        </w:rPr>
      </w:pPr>
      <w:r>
        <w:rPr>
          <w:rFonts w:hint="eastAsia"/>
          <w:highlight w:val="none"/>
        </w:rPr>
        <w:t>兼营（产）：</w:t>
      </w:r>
    </w:p>
    <w:p>
      <w:pPr>
        <w:tabs>
          <w:tab w:val="clear" w:pos="426"/>
        </w:tabs>
        <w:ind w:firstLine="424" w:firstLineChars="202"/>
        <w:rPr>
          <w:highlight w:val="none"/>
        </w:rPr>
      </w:pPr>
    </w:p>
    <w:p>
      <w:pPr>
        <w:tabs>
          <w:tab w:val="clear" w:pos="426"/>
        </w:tabs>
        <w:ind w:firstLine="424" w:firstLineChars="202"/>
        <w:rPr>
          <w:szCs w:val="21"/>
          <w:highlight w:val="none"/>
        </w:rPr>
      </w:pPr>
      <w:r>
        <w:rPr>
          <w:rFonts w:hint="eastAsia"/>
          <w:szCs w:val="21"/>
          <w:highlight w:val="none"/>
        </w:rPr>
        <w:t>附：法定代表人身份证复印件：</w:t>
      </w:r>
    </w:p>
    <w:p>
      <w:pPr>
        <w:tabs>
          <w:tab w:val="clear" w:pos="426"/>
        </w:tabs>
        <w:ind w:firstLine="424" w:firstLineChars="202"/>
        <w:rPr>
          <w:szCs w:val="21"/>
          <w:highlight w:val="none"/>
        </w:rPr>
      </w:pPr>
    </w:p>
    <w:p>
      <w:pPr>
        <w:tabs>
          <w:tab w:val="clear" w:pos="426"/>
        </w:tabs>
        <w:ind w:firstLine="424" w:firstLineChars="202"/>
        <w:rPr>
          <w:szCs w:val="21"/>
          <w:highlight w:val="none"/>
        </w:rPr>
      </w:pPr>
    </w:p>
    <w:p>
      <w:pPr>
        <w:tabs>
          <w:tab w:val="clear" w:pos="426"/>
        </w:tabs>
        <w:ind w:firstLine="424" w:firstLineChars="202"/>
        <w:rPr>
          <w:szCs w:val="21"/>
          <w:highlight w:val="none"/>
        </w:rPr>
      </w:pPr>
    </w:p>
    <w:p>
      <w:pPr>
        <w:tabs>
          <w:tab w:val="clear" w:pos="426"/>
        </w:tabs>
        <w:spacing w:line="500" w:lineRule="exact"/>
        <w:ind w:left="3826" w:leftChars="1822"/>
        <w:rPr>
          <w:highlight w:val="none"/>
          <w:u w:val="single"/>
        </w:rPr>
      </w:pPr>
      <w:r>
        <w:rPr>
          <w:rFonts w:hint="eastAsia"/>
          <w:highlight w:val="none"/>
        </w:rPr>
        <w:t>投标人名称（单位盖</w:t>
      </w:r>
      <w:r>
        <w:rPr>
          <w:rFonts w:hint="eastAsia"/>
          <w:spacing w:val="4"/>
          <w:highlight w:val="none"/>
        </w:rPr>
        <w:t>公章</w:t>
      </w:r>
      <w:r>
        <w:rPr>
          <w:rFonts w:hint="eastAsia"/>
          <w:highlight w:val="none"/>
        </w:rPr>
        <w:t>）：</w:t>
      </w:r>
    </w:p>
    <w:p>
      <w:pPr>
        <w:tabs>
          <w:tab w:val="clear" w:pos="426"/>
        </w:tabs>
        <w:spacing w:line="500" w:lineRule="exact"/>
        <w:ind w:left="3826" w:leftChars="1822"/>
        <w:rPr>
          <w:highlight w:val="none"/>
          <w:u w:val="single"/>
        </w:rPr>
      </w:pPr>
      <w:r>
        <w:rPr>
          <w:rFonts w:hint="eastAsia"/>
          <w:highlight w:val="none"/>
        </w:rPr>
        <w:t>地址：</w:t>
      </w:r>
    </w:p>
    <w:p>
      <w:pPr>
        <w:tabs>
          <w:tab w:val="clear" w:pos="426"/>
        </w:tabs>
        <w:spacing w:line="500" w:lineRule="exact"/>
        <w:ind w:left="3826" w:leftChars="1822"/>
        <w:rPr>
          <w:highlight w:val="none"/>
          <w:u w:val="single"/>
        </w:rPr>
      </w:pPr>
      <w:r>
        <w:rPr>
          <w:rFonts w:hint="eastAsia"/>
          <w:highlight w:val="none"/>
        </w:rPr>
        <w:t>日期：</w:t>
      </w:r>
    </w:p>
    <w:p>
      <w:pPr>
        <w:tabs>
          <w:tab w:val="clear" w:pos="426"/>
        </w:tabs>
        <w:spacing w:line="500" w:lineRule="exact"/>
        <w:ind w:left="3826" w:leftChars="1822"/>
        <w:rPr>
          <w:b/>
          <w:bCs/>
          <w:highlight w:val="none"/>
          <w:u w:val="single"/>
        </w:rPr>
      </w:pPr>
    </w:p>
    <w:p>
      <w:pPr>
        <w:numPr>
          <w:ilvl w:val="0"/>
          <w:numId w:val="27"/>
        </w:numPr>
        <w:adjustRightInd/>
        <w:snapToGrid/>
        <w:spacing w:before="280" w:after="290" w:line="377" w:lineRule="auto"/>
        <w:outlineLvl w:val="2"/>
        <w:rPr>
          <w:b/>
          <w:sz w:val="24"/>
          <w:highlight w:val="none"/>
        </w:rPr>
      </w:pPr>
      <w:r>
        <w:rPr>
          <w:highlight w:val="none"/>
        </w:rPr>
        <w:br w:type="page"/>
      </w:r>
      <w:r>
        <w:rPr>
          <w:rFonts w:hint="eastAsia"/>
          <w:b/>
          <w:sz w:val="24"/>
          <w:highlight w:val="none"/>
        </w:rPr>
        <w:t>投标人基本情况表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88" w:name="_Toc480789478"/>
      <w:bookmarkStart w:id="89" w:name="_Toc480756074"/>
      <w:bookmarkStart w:id="90" w:name="_Toc275865616"/>
      <w:bookmarkStart w:id="91" w:name="_Toc480754207"/>
      <w:bookmarkStart w:id="92" w:name="_Toc480755928"/>
      <w:bookmarkStart w:id="93" w:name="_Toc173553182"/>
      <w:r>
        <w:rPr>
          <w:rFonts w:hint="eastAsia" w:cs="Times New Roman"/>
          <w:bCs/>
          <w:kern w:val="2"/>
          <w:sz w:val="32"/>
          <w:szCs w:val="32"/>
          <w:highlight w:val="none"/>
        </w:rPr>
        <w:t>投标人基本情况表</w:t>
      </w:r>
      <w:bookmarkEnd w:id="88"/>
      <w:bookmarkEnd w:id="89"/>
      <w:bookmarkEnd w:id="90"/>
      <w:bookmarkEnd w:id="91"/>
      <w:bookmarkEnd w:id="92"/>
      <w:bookmarkEnd w:id="93"/>
    </w:p>
    <w:p>
      <w:pPr>
        <w:widowControl w:val="0"/>
        <w:shd w:val="clear" w:color="auto" w:fill="auto"/>
        <w:tabs>
          <w:tab w:val="clear" w:pos="426"/>
        </w:tabs>
        <w:adjustRightInd/>
        <w:snapToGrid/>
        <w:rPr>
          <w:rFonts w:cs="Arial"/>
          <w:b/>
          <w:szCs w:val="21"/>
          <w:highlight w:val="none"/>
        </w:rPr>
      </w:pPr>
      <w:r>
        <w:rPr>
          <w:rFonts w:hint="eastAsia" w:cs="Arial"/>
          <w:b/>
          <w:szCs w:val="21"/>
          <w:highlight w:val="none"/>
        </w:rPr>
        <w:t>一、</w:t>
      </w:r>
      <w:r>
        <w:rPr>
          <w:rFonts w:cs="Arial"/>
          <w:b/>
          <w:szCs w:val="21"/>
          <w:highlight w:val="none"/>
        </w:rPr>
        <w:t>公司基本情况</w:t>
      </w:r>
    </w:p>
    <w:p>
      <w:pPr>
        <w:widowControl w:val="0"/>
        <w:numPr>
          <w:ilvl w:val="1"/>
          <w:numId w:val="28"/>
        </w:numPr>
        <w:shd w:val="clear" w:color="auto" w:fill="auto"/>
        <w:tabs>
          <w:tab w:val="clear" w:pos="426"/>
        </w:tabs>
        <w:adjustRightInd/>
        <w:snapToGrid/>
        <w:ind w:left="0" w:firstLine="426"/>
        <w:rPr>
          <w:rFonts w:cs="Arial"/>
          <w:szCs w:val="21"/>
          <w:highlight w:val="none"/>
        </w:rPr>
      </w:pPr>
      <w:r>
        <w:rPr>
          <w:rFonts w:cs="Arial"/>
          <w:szCs w:val="21"/>
          <w:highlight w:val="none"/>
        </w:rPr>
        <w:t>公司名称：  电话号码：</w:t>
      </w:r>
    </w:p>
    <w:p>
      <w:pPr>
        <w:widowControl w:val="0"/>
        <w:numPr>
          <w:ilvl w:val="1"/>
          <w:numId w:val="28"/>
        </w:numPr>
        <w:shd w:val="clear" w:color="auto" w:fill="auto"/>
        <w:tabs>
          <w:tab w:val="clear" w:pos="426"/>
        </w:tabs>
        <w:adjustRightInd/>
        <w:snapToGrid/>
        <w:ind w:left="0" w:firstLine="426"/>
        <w:rPr>
          <w:rFonts w:cs="Arial"/>
          <w:szCs w:val="21"/>
          <w:highlight w:val="none"/>
        </w:rPr>
      </w:pPr>
      <w:r>
        <w:rPr>
          <w:rFonts w:cs="Arial"/>
          <w:szCs w:val="21"/>
          <w:highlight w:val="none"/>
        </w:rPr>
        <w:t>地    址：  传    真：</w:t>
      </w:r>
    </w:p>
    <w:p>
      <w:pPr>
        <w:widowControl w:val="0"/>
        <w:numPr>
          <w:ilvl w:val="1"/>
          <w:numId w:val="28"/>
        </w:numPr>
        <w:shd w:val="clear" w:color="auto" w:fill="auto"/>
        <w:tabs>
          <w:tab w:val="clear" w:pos="426"/>
        </w:tabs>
        <w:adjustRightInd/>
        <w:snapToGrid/>
        <w:ind w:left="0" w:firstLine="426"/>
        <w:rPr>
          <w:rFonts w:cs="Arial"/>
          <w:szCs w:val="21"/>
          <w:highlight w:val="none"/>
          <w:u w:val="single"/>
        </w:rPr>
      </w:pPr>
      <w:r>
        <w:rPr>
          <w:rFonts w:cs="Arial"/>
          <w:szCs w:val="21"/>
          <w:highlight w:val="none"/>
        </w:rPr>
        <w:t>注册资金：  经济性质：</w:t>
      </w:r>
    </w:p>
    <w:p>
      <w:pPr>
        <w:widowControl w:val="0"/>
        <w:numPr>
          <w:ilvl w:val="1"/>
          <w:numId w:val="28"/>
        </w:numPr>
        <w:shd w:val="clear" w:color="auto" w:fill="auto"/>
        <w:tabs>
          <w:tab w:val="clear" w:pos="426"/>
        </w:tabs>
        <w:adjustRightInd/>
        <w:snapToGrid/>
        <w:ind w:left="0" w:firstLine="426"/>
        <w:rPr>
          <w:rFonts w:cs="Arial"/>
          <w:szCs w:val="21"/>
          <w:highlight w:val="none"/>
        </w:rPr>
      </w:pPr>
      <w:r>
        <w:rPr>
          <w:rFonts w:cs="Arial"/>
          <w:szCs w:val="21"/>
          <w:highlight w:val="none"/>
        </w:rPr>
        <w:t>公司开户银行名称及账号：</w:t>
      </w:r>
    </w:p>
    <w:p>
      <w:pPr>
        <w:widowControl w:val="0"/>
        <w:numPr>
          <w:ilvl w:val="1"/>
          <w:numId w:val="28"/>
        </w:numPr>
        <w:shd w:val="clear" w:color="auto" w:fill="auto"/>
        <w:tabs>
          <w:tab w:val="clear" w:pos="426"/>
        </w:tabs>
        <w:adjustRightInd/>
        <w:snapToGrid/>
        <w:ind w:left="0" w:firstLine="426"/>
        <w:rPr>
          <w:rFonts w:cs="Arial"/>
          <w:szCs w:val="21"/>
          <w:highlight w:val="none"/>
        </w:rPr>
      </w:pPr>
      <w:r>
        <w:rPr>
          <w:rFonts w:cs="Arial"/>
          <w:szCs w:val="21"/>
          <w:highlight w:val="none"/>
        </w:rPr>
        <w:t>营业注册执照号：</w:t>
      </w:r>
    </w:p>
    <w:p>
      <w:pPr>
        <w:widowControl w:val="0"/>
        <w:numPr>
          <w:ilvl w:val="1"/>
          <w:numId w:val="28"/>
        </w:numPr>
        <w:shd w:val="clear" w:color="auto" w:fill="auto"/>
        <w:tabs>
          <w:tab w:val="clear" w:pos="426"/>
        </w:tabs>
        <w:adjustRightInd/>
        <w:snapToGrid/>
        <w:ind w:left="0" w:firstLine="426"/>
        <w:rPr>
          <w:rFonts w:cs="Arial"/>
          <w:szCs w:val="21"/>
          <w:highlight w:val="none"/>
        </w:rPr>
      </w:pPr>
      <w:r>
        <w:rPr>
          <w:rFonts w:cs="Arial"/>
          <w:szCs w:val="21"/>
          <w:highlight w:val="none"/>
        </w:rPr>
        <w:t>公司简介</w:t>
      </w:r>
    </w:p>
    <w:p>
      <w:pPr>
        <w:tabs>
          <w:tab w:val="clear" w:pos="426"/>
        </w:tabs>
        <w:ind w:firstLine="426"/>
        <w:rPr>
          <w:highlight w:val="none"/>
        </w:rPr>
      </w:pPr>
      <w:r>
        <w:rPr>
          <w:rFonts w:hint="eastAsia"/>
          <w:highlight w:val="none"/>
        </w:rPr>
        <w:t>文字描述：</w:t>
      </w:r>
      <w:r>
        <w:rPr>
          <w:rFonts w:hint="eastAsia"/>
          <w:bCs/>
          <w:szCs w:val="21"/>
          <w:highlight w:val="none"/>
          <w:lang w:val="en-GB"/>
        </w:rPr>
        <w:t>发展历程、经营规模及服务理念</w:t>
      </w:r>
      <w:r>
        <w:rPr>
          <w:rFonts w:hint="eastAsia"/>
          <w:highlight w:val="none"/>
        </w:rPr>
        <w:t>、技术力量、财务状况、</w:t>
      </w:r>
      <w:r>
        <w:rPr>
          <w:highlight w:val="none"/>
        </w:rPr>
        <w:t>管理水平</w:t>
      </w:r>
      <w:r>
        <w:rPr>
          <w:rFonts w:hint="eastAsia"/>
          <w:highlight w:val="none"/>
        </w:rPr>
        <w:t>等方面进行阐述；</w:t>
      </w:r>
    </w:p>
    <w:p>
      <w:pPr>
        <w:tabs>
          <w:tab w:val="clear" w:pos="426"/>
        </w:tabs>
        <w:ind w:firstLine="426"/>
        <w:rPr>
          <w:rFonts w:cs="Arial"/>
          <w:szCs w:val="21"/>
          <w:highlight w:val="none"/>
        </w:rPr>
      </w:pPr>
      <w:r>
        <w:rPr>
          <w:rFonts w:hint="eastAsia"/>
          <w:highlight w:val="none"/>
        </w:rPr>
        <w:t>图片描述：</w:t>
      </w:r>
      <w:r>
        <w:rPr>
          <w:rFonts w:hint="eastAsia"/>
          <w:bCs/>
          <w:szCs w:val="21"/>
          <w:highlight w:val="none"/>
          <w:lang w:val="en-GB"/>
        </w:rPr>
        <w:t>经营场所、主要或关键产品介绍、生产场所及服务流程等。</w:t>
      </w:r>
    </w:p>
    <w:p>
      <w:pPr>
        <w:widowControl w:val="0"/>
        <w:shd w:val="clear" w:color="auto" w:fill="auto"/>
        <w:tabs>
          <w:tab w:val="clear" w:pos="426"/>
        </w:tabs>
        <w:adjustRightInd/>
        <w:snapToGrid/>
        <w:rPr>
          <w:rFonts w:cs="Arial"/>
          <w:b/>
          <w:szCs w:val="21"/>
          <w:highlight w:val="none"/>
        </w:rPr>
      </w:pPr>
      <w:r>
        <w:rPr>
          <w:rFonts w:hint="eastAsia" w:cs="Arial"/>
          <w:b/>
          <w:szCs w:val="21"/>
          <w:highlight w:val="none"/>
        </w:rPr>
        <w:t>二、供应商资格证明文件</w:t>
      </w:r>
    </w:p>
    <w:p>
      <w:pPr>
        <w:tabs>
          <w:tab w:val="clear" w:pos="426"/>
        </w:tabs>
        <w:spacing w:beforeLines="50"/>
        <w:ind w:firstLine="424" w:firstLineChars="201"/>
        <w:rPr>
          <w:b/>
          <w:color w:val="FF0000"/>
          <w:highlight w:val="none"/>
        </w:rPr>
      </w:pPr>
      <w:r>
        <w:rPr>
          <w:rFonts w:hint="eastAsia"/>
          <w:b/>
          <w:color w:val="FF0000"/>
          <w:highlight w:val="none"/>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pPr>
        <w:spacing w:beforeLines="50"/>
        <w:ind w:firstLine="424" w:firstLineChars="201"/>
        <w:rPr>
          <w:b/>
          <w:color w:val="FF0000"/>
          <w:highlight w:val="none"/>
        </w:rPr>
      </w:pPr>
    </w:p>
    <w:p>
      <w:pPr>
        <w:spacing w:beforeLines="50"/>
        <w:ind w:firstLine="424" w:firstLineChars="201"/>
        <w:rPr>
          <w:b/>
          <w:color w:val="FF0000"/>
          <w:highlight w:val="none"/>
        </w:rPr>
      </w:pPr>
    </w:p>
    <w:p>
      <w:pPr>
        <w:tabs>
          <w:tab w:val="clear" w:pos="426"/>
        </w:tabs>
        <w:spacing w:line="520" w:lineRule="exact"/>
        <w:ind w:left="424" w:leftChars="202"/>
        <w:rPr>
          <w:rFonts w:ascii="黑体" w:eastAsia="黑体"/>
          <w:b/>
          <w:bCs/>
          <w:sz w:val="28"/>
          <w:highlight w:val="none"/>
        </w:rPr>
      </w:pPr>
    </w:p>
    <w:p>
      <w:pPr>
        <w:numPr>
          <w:ilvl w:val="0"/>
          <w:numId w:val="27"/>
        </w:numPr>
        <w:adjustRightInd/>
        <w:snapToGrid/>
        <w:spacing w:before="280" w:after="290" w:line="377" w:lineRule="auto"/>
        <w:outlineLvl w:val="2"/>
        <w:rPr>
          <w:b/>
          <w:sz w:val="24"/>
          <w:highlight w:val="none"/>
        </w:rPr>
      </w:pPr>
      <w:r>
        <w:rPr>
          <w:highlight w:val="none"/>
        </w:rPr>
        <w:br w:type="page"/>
      </w:r>
      <w:r>
        <w:rPr>
          <w:rFonts w:hint="eastAsia"/>
          <w:b/>
          <w:sz w:val="24"/>
          <w:highlight w:val="none"/>
        </w:rPr>
        <w:t>开标一览表(报价表)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94" w:name="_Toc480756075"/>
      <w:bookmarkStart w:id="95" w:name="_Toc480755929"/>
      <w:bookmarkStart w:id="96" w:name="_Toc480754208"/>
      <w:bookmarkStart w:id="97" w:name="_Toc480789479"/>
      <w:r>
        <w:rPr>
          <w:rFonts w:hint="eastAsia" w:cs="Times New Roman"/>
          <w:bCs/>
          <w:kern w:val="2"/>
          <w:sz w:val="32"/>
          <w:szCs w:val="32"/>
          <w:highlight w:val="none"/>
        </w:rPr>
        <w:t>开标一览表(报价表)</w:t>
      </w:r>
      <w:bookmarkEnd w:id="94"/>
      <w:bookmarkEnd w:id="95"/>
      <w:bookmarkEnd w:id="96"/>
      <w:bookmarkEnd w:id="97"/>
    </w:p>
    <w:p>
      <w:pPr>
        <w:tabs>
          <w:tab w:val="clear" w:pos="426"/>
        </w:tabs>
        <w:jc w:val="left"/>
        <w:rPr>
          <w:highlight w:val="none"/>
        </w:rPr>
      </w:pPr>
    </w:p>
    <w:p>
      <w:pPr>
        <w:tabs>
          <w:tab w:val="clear" w:pos="426"/>
        </w:tabs>
        <w:jc w:val="left"/>
        <w:rPr>
          <w:sz w:val="24"/>
          <w:highlight w:val="none"/>
          <w:u w:val="single"/>
        </w:rPr>
      </w:pPr>
      <w:r>
        <w:rPr>
          <w:rFonts w:hint="eastAsia"/>
          <w:highlight w:val="none"/>
        </w:rPr>
        <w:t>项目名称：招标项目编号：</w:t>
      </w:r>
    </w:p>
    <w:tbl>
      <w:tblPr>
        <w:tblStyle w:val="44"/>
        <w:tblW w:w="7807" w:type="dxa"/>
        <w:jc w:val="center"/>
        <w:tblInd w:w="-1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2"/>
        <w:gridCol w:w="1599"/>
        <w:gridCol w:w="1900"/>
        <w:gridCol w:w="1179"/>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2212"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序号</w:t>
            </w:r>
          </w:p>
        </w:tc>
        <w:tc>
          <w:tcPr>
            <w:tcW w:w="1599"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项目名称</w:t>
            </w:r>
          </w:p>
        </w:tc>
        <w:tc>
          <w:tcPr>
            <w:tcW w:w="1900"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投标总价</w:t>
            </w:r>
          </w:p>
        </w:tc>
        <w:tc>
          <w:tcPr>
            <w:tcW w:w="1179"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交货期</w:t>
            </w:r>
          </w:p>
        </w:tc>
        <w:tc>
          <w:tcPr>
            <w:tcW w:w="917" w:type="dxa"/>
            <w:shd w:val="clear" w:color="auto" w:fill="auto"/>
            <w:vAlign w:val="center"/>
          </w:tcPr>
          <w:p>
            <w:pPr>
              <w:tabs>
                <w:tab w:val="clear" w:pos="426"/>
              </w:tabs>
              <w:spacing w:line="240" w:lineRule="auto"/>
              <w:jc w:val="center"/>
              <w:rPr>
                <w:b/>
                <w:szCs w:val="21"/>
                <w:highlight w:val="none"/>
              </w:rPr>
            </w:pPr>
            <w:r>
              <w:rPr>
                <w:rFonts w:hint="eastAsia"/>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 w:hRule="atLeast"/>
          <w:jc w:val="center"/>
        </w:trPr>
        <w:tc>
          <w:tcPr>
            <w:tcW w:w="2212" w:type="dxa"/>
            <w:shd w:val="clear" w:color="auto" w:fill="auto"/>
            <w:vAlign w:val="center"/>
          </w:tcPr>
          <w:p>
            <w:pPr>
              <w:tabs>
                <w:tab w:val="clear" w:pos="426"/>
              </w:tabs>
              <w:jc w:val="center"/>
              <w:rPr>
                <w:bCs/>
                <w:szCs w:val="21"/>
                <w:highlight w:val="none"/>
              </w:rPr>
            </w:pPr>
          </w:p>
        </w:tc>
        <w:tc>
          <w:tcPr>
            <w:tcW w:w="1599" w:type="dxa"/>
            <w:shd w:val="clear" w:color="auto" w:fill="auto"/>
            <w:vAlign w:val="center"/>
          </w:tcPr>
          <w:p>
            <w:pPr>
              <w:tabs>
                <w:tab w:val="clear" w:pos="426"/>
              </w:tabs>
              <w:jc w:val="center"/>
              <w:rPr>
                <w:szCs w:val="21"/>
                <w:highlight w:val="none"/>
              </w:rPr>
            </w:pPr>
          </w:p>
        </w:tc>
        <w:tc>
          <w:tcPr>
            <w:tcW w:w="1900" w:type="dxa"/>
            <w:shd w:val="clear" w:color="auto" w:fill="auto"/>
            <w:vAlign w:val="center"/>
          </w:tcPr>
          <w:p>
            <w:pPr>
              <w:tabs>
                <w:tab w:val="clear" w:pos="426"/>
              </w:tabs>
              <w:jc w:val="center"/>
              <w:rPr>
                <w:b/>
                <w:szCs w:val="21"/>
                <w:highlight w:val="none"/>
              </w:rPr>
            </w:pPr>
          </w:p>
        </w:tc>
        <w:tc>
          <w:tcPr>
            <w:tcW w:w="1179" w:type="dxa"/>
            <w:shd w:val="clear" w:color="auto" w:fill="auto"/>
            <w:vAlign w:val="center"/>
          </w:tcPr>
          <w:p>
            <w:pPr>
              <w:tabs>
                <w:tab w:val="clear" w:pos="426"/>
              </w:tabs>
              <w:jc w:val="center"/>
              <w:rPr>
                <w:b/>
                <w:szCs w:val="21"/>
                <w:highlight w:val="none"/>
              </w:rPr>
            </w:pPr>
          </w:p>
        </w:tc>
        <w:tc>
          <w:tcPr>
            <w:tcW w:w="917" w:type="dxa"/>
            <w:shd w:val="clear" w:color="auto" w:fill="auto"/>
            <w:vAlign w:val="center"/>
          </w:tcPr>
          <w:p>
            <w:pPr>
              <w:tabs>
                <w:tab w:val="clear" w:pos="426"/>
              </w:tabs>
              <w:jc w:val="center"/>
              <w:rPr>
                <w:b/>
                <w:szCs w:val="21"/>
                <w:highlight w:val="none"/>
              </w:rPr>
            </w:pPr>
          </w:p>
        </w:tc>
      </w:tr>
    </w:tbl>
    <w:p>
      <w:pPr>
        <w:tabs>
          <w:tab w:val="clear" w:pos="426"/>
        </w:tabs>
        <w:spacing w:line="500" w:lineRule="exact"/>
        <w:rPr>
          <w:spacing w:val="4"/>
          <w:highlight w:val="none"/>
        </w:rPr>
      </w:pPr>
    </w:p>
    <w:p>
      <w:pPr>
        <w:tabs>
          <w:tab w:val="clear" w:pos="426"/>
        </w:tabs>
        <w:spacing w:line="500" w:lineRule="exact"/>
        <w:rPr>
          <w:highlight w:val="none"/>
          <w:u w:val="single"/>
        </w:rPr>
      </w:pPr>
      <w:r>
        <w:rPr>
          <w:rFonts w:hint="eastAsia"/>
          <w:spacing w:val="4"/>
          <w:highlight w:val="none"/>
        </w:rPr>
        <w:t>投标人名称（</w:t>
      </w:r>
      <w:r>
        <w:rPr>
          <w:rFonts w:hint="eastAsia"/>
          <w:highlight w:val="none"/>
        </w:rPr>
        <w:t>单位盖</w:t>
      </w:r>
      <w:r>
        <w:rPr>
          <w:rFonts w:hint="eastAsia"/>
          <w:spacing w:val="4"/>
          <w:highlight w:val="none"/>
        </w:rPr>
        <w:t>公章）：</w:t>
      </w:r>
    </w:p>
    <w:p>
      <w:pPr>
        <w:tabs>
          <w:tab w:val="clear" w:pos="426"/>
        </w:tabs>
        <w:spacing w:line="520" w:lineRule="exact"/>
        <w:rPr>
          <w:highlight w:val="none"/>
        </w:rPr>
      </w:pPr>
    </w:p>
    <w:p>
      <w:pPr>
        <w:tabs>
          <w:tab w:val="clear" w:pos="426"/>
        </w:tabs>
        <w:spacing w:line="520" w:lineRule="exact"/>
        <w:rPr>
          <w:spacing w:val="4"/>
          <w:highlight w:val="none"/>
        </w:rPr>
      </w:pPr>
      <w:r>
        <w:rPr>
          <w:rFonts w:hint="eastAsia"/>
          <w:highlight w:val="none"/>
        </w:rPr>
        <w:t>法定代表人或投标人授权代表（签名或盖章）：</w:t>
      </w:r>
      <w:r>
        <w:rPr>
          <w:rFonts w:hint="eastAsia"/>
          <w:spacing w:val="4"/>
          <w:highlight w:val="none"/>
        </w:rPr>
        <w:t>职务：日期</w:t>
      </w:r>
    </w:p>
    <w:p>
      <w:pPr>
        <w:tabs>
          <w:tab w:val="clear" w:pos="426"/>
        </w:tabs>
        <w:spacing w:line="400" w:lineRule="exact"/>
        <w:rPr>
          <w:b/>
          <w:bCs/>
          <w:szCs w:val="21"/>
          <w:highlight w:val="none"/>
        </w:rPr>
      </w:pPr>
    </w:p>
    <w:p>
      <w:pPr>
        <w:tabs>
          <w:tab w:val="clear" w:pos="426"/>
        </w:tabs>
        <w:spacing w:line="400" w:lineRule="exact"/>
        <w:rPr>
          <w:b/>
          <w:bCs/>
          <w:szCs w:val="21"/>
          <w:highlight w:val="none"/>
        </w:rPr>
      </w:pPr>
      <w:r>
        <w:rPr>
          <w:rFonts w:hint="eastAsia"/>
          <w:b/>
          <w:bCs/>
          <w:szCs w:val="21"/>
          <w:highlight w:val="none"/>
        </w:rPr>
        <w:t>备注：</w:t>
      </w:r>
    </w:p>
    <w:p>
      <w:pPr>
        <w:widowControl w:val="0"/>
        <w:numPr>
          <w:ilvl w:val="1"/>
          <w:numId w:val="29"/>
        </w:numPr>
        <w:shd w:val="clear" w:color="auto" w:fill="auto"/>
        <w:tabs>
          <w:tab w:val="clear" w:pos="426"/>
        </w:tabs>
        <w:adjustRightInd/>
        <w:ind w:left="0" w:firstLine="424" w:firstLineChars="201"/>
        <w:rPr>
          <w:b/>
          <w:bCs/>
          <w:szCs w:val="21"/>
          <w:highlight w:val="none"/>
        </w:rPr>
      </w:pPr>
      <w:r>
        <w:rPr>
          <w:b/>
          <w:highlight w:val="none"/>
        </w:rPr>
        <w:t>此表</w:t>
      </w:r>
      <w:r>
        <w:rPr>
          <w:rFonts w:hint="eastAsia"/>
          <w:b/>
          <w:highlight w:val="none"/>
        </w:rPr>
        <w:t>为投标文件的组成部分，</w:t>
      </w:r>
      <w:r>
        <w:rPr>
          <w:b/>
          <w:highlight w:val="none"/>
        </w:rPr>
        <w:t>须附在正、副本的投标文件中，并另封装一份于开标信封中</w:t>
      </w:r>
      <w:r>
        <w:rPr>
          <w:rFonts w:hint="eastAsia"/>
          <w:b/>
          <w:highlight w:val="none"/>
        </w:rPr>
        <w:t>（信封中须同时提供法定代表人证明书、法定代表人授权委托书、被授权人身份证复印件）。</w:t>
      </w:r>
    </w:p>
    <w:p>
      <w:pPr>
        <w:widowControl w:val="0"/>
        <w:numPr>
          <w:ilvl w:val="1"/>
          <w:numId w:val="29"/>
        </w:numPr>
        <w:shd w:val="clear" w:color="auto" w:fill="auto"/>
        <w:tabs>
          <w:tab w:val="clear" w:pos="426"/>
        </w:tabs>
        <w:adjustRightInd/>
        <w:ind w:left="0" w:firstLine="424" w:firstLineChars="201"/>
        <w:rPr>
          <w:b/>
          <w:bCs/>
          <w:szCs w:val="21"/>
          <w:highlight w:val="none"/>
        </w:rPr>
      </w:pPr>
      <w:r>
        <w:rPr>
          <w:rFonts w:hint="eastAsia"/>
          <w:b/>
          <w:highlight w:val="none"/>
        </w:rPr>
        <w:t>此表内投标报价为最终价，开标信封及投标文件内不得含有任何对本报价进行修改的其他说明或资料，否则将导致投标无效</w:t>
      </w:r>
      <w:r>
        <w:rPr>
          <w:rFonts w:hint="eastAsia"/>
          <w:b/>
          <w:bCs/>
          <w:szCs w:val="21"/>
          <w:highlight w:val="none"/>
        </w:rPr>
        <w:t>。</w:t>
      </w:r>
    </w:p>
    <w:p>
      <w:pPr>
        <w:widowControl w:val="0"/>
        <w:shd w:val="clear" w:color="auto" w:fill="auto"/>
        <w:tabs>
          <w:tab w:val="clear" w:pos="426"/>
        </w:tabs>
        <w:adjustRightInd/>
        <w:rPr>
          <w:b/>
          <w:bCs/>
          <w:szCs w:val="21"/>
          <w:highlight w:val="none"/>
        </w:rPr>
      </w:pPr>
    </w:p>
    <w:p>
      <w:pPr>
        <w:widowControl w:val="0"/>
        <w:shd w:val="clear" w:color="auto" w:fill="auto"/>
        <w:tabs>
          <w:tab w:val="clear" w:pos="426"/>
        </w:tabs>
        <w:adjustRightInd/>
        <w:rPr>
          <w:b/>
          <w:bCs/>
          <w:szCs w:val="21"/>
          <w:highlight w:val="none"/>
        </w:rPr>
      </w:pPr>
    </w:p>
    <w:p>
      <w:pPr>
        <w:widowControl w:val="0"/>
        <w:shd w:val="clear" w:color="auto" w:fill="auto"/>
        <w:tabs>
          <w:tab w:val="clear" w:pos="426"/>
        </w:tabs>
        <w:adjustRightInd/>
        <w:rPr>
          <w:b/>
          <w:bCs/>
          <w:szCs w:val="21"/>
          <w:highlight w:val="none"/>
        </w:rPr>
      </w:pPr>
    </w:p>
    <w:p>
      <w:pPr>
        <w:widowControl w:val="0"/>
        <w:shd w:val="clear" w:color="auto" w:fill="auto"/>
        <w:tabs>
          <w:tab w:val="clear" w:pos="426"/>
        </w:tabs>
        <w:adjustRightInd/>
        <w:rPr>
          <w:b/>
          <w:bCs/>
          <w:szCs w:val="21"/>
          <w:highlight w:val="none"/>
        </w:rPr>
      </w:pPr>
    </w:p>
    <w:p>
      <w:pPr>
        <w:numPr>
          <w:ilvl w:val="0"/>
          <w:numId w:val="27"/>
        </w:numPr>
        <w:adjustRightInd/>
        <w:snapToGrid/>
        <w:spacing w:before="280" w:after="290" w:line="377" w:lineRule="auto"/>
        <w:outlineLvl w:val="2"/>
        <w:rPr>
          <w:b/>
          <w:sz w:val="24"/>
          <w:highlight w:val="none"/>
        </w:rPr>
      </w:pPr>
      <w:r>
        <w:rPr>
          <w:b/>
          <w:highlight w:val="none"/>
        </w:rPr>
        <w:br w:type="page"/>
      </w:r>
      <w:bookmarkStart w:id="98" w:name="_Toc43264518"/>
      <w:bookmarkStart w:id="99" w:name="_Toc50691037"/>
      <w:bookmarkStart w:id="100" w:name="_Toc43264525"/>
      <w:bookmarkStart w:id="101" w:name="_Toc50703730"/>
      <w:r>
        <w:rPr>
          <w:rFonts w:hint="eastAsia"/>
          <w:b/>
          <w:sz w:val="24"/>
          <w:highlight w:val="none"/>
        </w:rPr>
        <w:t>货物清单一览表</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102" w:name="_Toc480789483"/>
      <w:bookmarkStart w:id="103" w:name="_Toc480755933"/>
      <w:bookmarkStart w:id="104" w:name="_Toc480756079"/>
      <w:bookmarkStart w:id="105" w:name="_Toc480754212"/>
      <w:r>
        <w:rPr>
          <w:rFonts w:hint="eastAsia" w:cs="Times New Roman"/>
          <w:bCs/>
          <w:kern w:val="2"/>
          <w:sz w:val="32"/>
          <w:szCs w:val="32"/>
          <w:highlight w:val="none"/>
        </w:rPr>
        <w:t>货物清单一览表</w:t>
      </w:r>
      <w:bookmarkEnd w:id="102"/>
      <w:bookmarkEnd w:id="103"/>
      <w:bookmarkEnd w:id="104"/>
      <w:bookmarkEnd w:id="105"/>
    </w:p>
    <w:p>
      <w:pPr>
        <w:tabs>
          <w:tab w:val="clear" w:pos="426"/>
        </w:tabs>
        <w:rPr>
          <w:rFonts w:cs="Times New Roman"/>
          <w:bCs/>
          <w:kern w:val="2"/>
          <w:sz w:val="32"/>
          <w:szCs w:val="32"/>
          <w:highlight w:val="none"/>
        </w:rPr>
      </w:pPr>
      <w:r>
        <w:rPr>
          <w:rFonts w:hint="eastAsia" w:cs="Arial"/>
          <w:bCs/>
          <w:szCs w:val="21"/>
          <w:highlight w:val="none"/>
        </w:rPr>
        <w:t xml:space="preserve">项目名称：                                         招标项目编号： </w:t>
      </w:r>
    </w:p>
    <w:tbl>
      <w:tblPr>
        <w:tblStyle w:val="44"/>
        <w:tblW w:w="8914" w:type="dxa"/>
        <w:tblInd w:w="0" w:type="dxa"/>
        <w:tblLayout w:type="fixed"/>
        <w:tblCellMar>
          <w:top w:w="0" w:type="dxa"/>
          <w:left w:w="0" w:type="dxa"/>
          <w:bottom w:w="0" w:type="dxa"/>
          <w:right w:w="0" w:type="dxa"/>
        </w:tblCellMar>
      </w:tblPr>
      <w:tblGrid>
        <w:gridCol w:w="564"/>
        <w:gridCol w:w="1065"/>
        <w:gridCol w:w="1107"/>
        <w:gridCol w:w="1758"/>
        <w:gridCol w:w="1200"/>
        <w:gridCol w:w="1275"/>
        <w:gridCol w:w="990"/>
        <w:gridCol w:w="955"/>
      </w:tblGrid>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b/>
                <w:color w:val="000000"/>
                <w:sz w:val="24"/>
                <w:highlight w:val="none"/>
              </w:rPr>
              <w:t>序号</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展项分类</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项目名称</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展项名称</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品牌</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型号</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数量</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b/>
                <w:color w:val="000000"/>
                <w:sz w:val="24"/>
                <w:highlight w:val="none"/>
              </w:rPr>
            </w:pPr>
            <w:r>
              <w:rPr>
                <w:rFonts w:hint="eastAsia"/>
                <w:b/>
                <w:color w:val="000000"/>
                <w:sz w:val="24"/>
                <w:highlight w:val="none"/>
              </w:rPr>
              <w:t>单位</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1</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策划文案</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策划文案脚本</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凤冈书院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人才辈出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领军人物</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2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百年校庆</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校园活动</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对外交流</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成绩斐然</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2</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UI设计</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素材制作</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凤冈书院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人才辈出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领军人物</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2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3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3</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多媒体软件、系统程序</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多媒体互动程序</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凤冈书院</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人才辈出</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领军人物</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2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3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感应控制系统开发及底层通讯协议</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滑轨系统</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智能中控系统</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智能中控系统</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中控操作端软件</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智能中控系统</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4</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影视内容</w:t>
            </w:r>
          </w:p>
        </w:tc>
        <w:tc>
          <w:tcPr>
            <w:tcW w:w="11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影视制作</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校园新貌</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60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秒</w:t>
            </w:r>
          </w:p>
        </w:tc>
      </w:tr>
      <w:tr>
        <w:tblPrEx>
          <w:tblLayout w:type="fixed"/>
          <w:tblCellMar>
            <w:top w:w="0" w:type="dxa"/>
            <w:left w:w="0" w:type="dxa"/>
            <w:bottom w:w="0" w:type="dxa"/>
            <w:right w:w="0" w:type="dxa"/>
          </w:tblCellMar>
        </w:tblPrEx>
        <w:trPr>
          <w:trHeight w:val="520" w:hRule="atLeast"/>
        </w:trPr>
        <w:tc>
          <w:tcPr>
            <w:tcW w:w="5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1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color w:val="000000"/>
                <w:sz w:val="24"/>
                <w:highlight w:val="none"/>
              </w:rPr>
            </w:pP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成绩斐然</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120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秒</w:t>
            </w:r>
          </w:p>
        </w:tc>
      </w:tr>
      <w:tr>
        <w:tblPrEx>
          <w:tblLayout w:type="fixed"/>
          <w:tblCellMar>
            <w:top w:w="0" w:type="dxa"/>
            <w:left w:w="0" w:type="dxa"/>
            <w:bottom w:w="0" w:type="dxa"/>
            <w:right w:w="0" w:type="dxa"/>
          </w:tblCellMar>
        </w:tblPrEx>
        <w:trPr>
          <w:trHeight w:val="520" w:hRule="atLeast"/>
        </w:trPr>
        <w:tc>
          <w:tcPr>
            <w:tcW w:w="564"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5</w:t>
            </w:r>
          </w:p>
        </w:tc>
        <w:tc>
          <w:tcPr>
            <w:tcW w:w="1065" w:type="dxa"/>
            <w:tcBorders>
              <w:top w:val="nil"/>
              <w:left w:val="single" w:color="000000" w:sz="4" w:space="0"/>
              <w:bottom w:val="nil"/>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虚拟展馆</w:t>
            </w:r>
          </w:p>
        </w:tc>
        <w:tc>
          <w:tcPr>
            <w:tcW w:w="110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720度全景虚拟展厅</w:t>
            </w:r>
          </w:p>
        </w:tc>
        <w:tc>
          <w:tcPr>
            <w:tcW w:w="1758"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720度全景虚拟展厅</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rFonts w:ascii="微软雅黑 Light" w:hAnsi="微软雅黑 Light" w:eastAsia="微软雅黑 Light" w:cs="微软雅黑 Light"/>
                <w:color w:val="000000"/>
                <w:sz w:val="22"/>
                <w:szCs w:val="22"/>
                <w:highlight w:val="none"/>
              </w:rPr>
              <w:t>6</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测距感应装置</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测距感应装置</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套</w:t>
            </w:r>
          </w:p>
        </w:tc>
      </w:tr>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rFonts w:ascii="微软雅黑 Light" w:hAnsi="微软雅黑 Light" w:eastAsia="微软雅黑 Light" w:cs="微软雅黑 Light"/>
                <w:color w:val="000000"/>
                <w:sz w:val="22"/>
                <w:szCs w:val="22"/>
                <w:highlight w:val="none"/>
              </w:rPr>
              <w:t>7</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滑轨台子制作</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滑轨台子制作</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台</w:t>
            </w:r>
          </w:p>
        </w:tc>
      </w:tr>
      <w:tr>
        <w:tblPrEx>
          <w:tblLayout w:type="fixed"/>
          <w:tblCellMar>
            <w:top w:w="0" w:type="dxa"/>
            <w:left w:w="0" w:type="dxa"/>
            <w:bottom w:w="0" w:type="dxa"/>
            <w:right w:w="0" w:type="dxa"/>
          </w:tblCellMar>
        </w:tblPrEx>
        <w:trPr>
          <w:trHeight w:val="520" w:hRule="atLeast"/>
        </w:trPr>
        <w:tc>
          <w:tcPr>
            <w:tcW w:w="5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textAlignment w:val="center"/>
              <w:rPr>
                <w:rFonts w:ascii="微软雅黑 Light" w:hAnsi="微软雅黑 Light" w:eastAsia="微软雅黑 Light" w:cs="微软雅黑 Light"/>
                <w:color w:val="000000"/>
                <w:sz w:val="22"/>
                <w:szCs w:val="22"/>
                <w:highlight w:val="none"/>
              </w:rPr>
            </w:pPr>
            <w:r>
              <w:rPr>
                <w:rFonts w:ascii="微软雅黑 Light" w:hAnsi="微软雅黑 Light" w:eastAsia="微软雅黑 Light" w:cs="微软雅黑 Light"/>
                <w:color w:val="000000"/>
                <w:sz w:val="22"/>
                <w:szCs w:val="22"/>
                <w:highlight w:val="none"/>
              </w:rPr>
              <w:t>8</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线材、辅料</w:t>
            </w:r>
          </w:p>
        </w:tc>
        <w:tc>
          <w:tcPr>
            <w:tcW w:w="11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线材、辅料</w:t>
            </w:r>
          </w:p>
        </w:tc>
        <w:tc>
          <w:tcPr>
            <w:tcW w:w="17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英贤荟萃（轨道）</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秋叶原</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定制</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 xml:space="preserve">1 </w:t>
            </w:r>
          </w:p>
        </w:tc>
        <w:tc>
          <w:tcPr>
            <w:tcW w:w="9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textAlignment w:val="center"/>
              <w:rPr>
                <w:color w:val="000000"/>
                <w:sz w:val="24"/>
                <w:highlight w:val="none"/>
              </w:rPr>
            </w:pPr>
            <w:r>
              <w:rPr>
                <w:rFonts w:hint="eastAsia"/>
                <w:color w:val="000000"/>
                <w:sz w:val="24"/>
                <w:highlight w:val="none"/>
              </w:rPr>
              <w:t>项</w:t>
            </w:r>
          </w:p>
        </w:tc>
      </w:tr>
    </w:tbl>
    <w:p>
      <w:pPr>
        <w:tabs>
          <w:tab w:val="clear" w:pos="426"/>
        </w:tabs>
        <w:rPr>
          <w:rFonts w:cs="Arial"/>
          <w:bCs/>
          <w:szCs w:val="21"/>
          <w:highlight w:val="none"/>
        </w:rPr>
      </w:pPr>
      <w:r>
        <w:rPr>
          <w:rFonts w:hint="eastAsia" w:cs="Arial"/>
          <w:bCs/>
          <w:szCs w:val="21"/>
          <w:highlight w:val="none"/>
        </w:rPr>
        <w:t>备注：“产地”是指该产品的实际生产加工地，而非品牌总公司所在地。</w:t>
      </w:r>
    </w:p>
    <w:p>
      <w:pPr>
        <w:tabs>
          <w:tab w:val="clear" w:pos="426"/>
        </w:tabs>
        <w:ind w:firstLine="424" w:firstLineChars="202"/>
        <w:rPr>
          <w:rFonts w:cs="Arial"/>
          <w:bCs/>
          <w:szCs w:val="21"/>
          <w:highlight w:val="none"/>
        </w:rPr>
      </w:pPr>
    </w:p>
    <w:p>
      <w:pPr>
        <w:tabs>
          <w:tab w:val="clear" w:pos="426"/>
        </w:tabs>
        <w:ind w:firstLine="424" w:firstLineChars="202"/>
        <w:rPr>
          <w:rFonts w:cs="Arial"/>
          <w:bCs/>
          <w:szCs w:val="21"/>
          <w:highlight w:val="none"/>
        </w:rPr>
      </w:pPr>
    </w:p>
    <w:p>
      <w:pPr>
        <w:tabs>
          <w:tab w:val="clear" w:pos="426"/>
        </w:tabs>
        <w:ind w:firstLine="424" w:firstLineChars="202"/>
        <w:rPr>
          <w:rFonts w:cs="Arial"/>
          <w:bCs/>
          <w:szCs w:val="21"/>
          <w:highlight w:val="none"/>
        </w:rPr>
      </w:pPr>
    </w:p>
    <w:p>
      <w:pPr>
        <w:tabs>
          <w:tab w:val="clear" w:pos="426"/>
        </w:tabs>
        <w:spacing w:line="240" w:lineRule="auto"/>
        <w:ind w:firstLine="420" w:firstLineChars="200"/>
        <w:rPr>
          <w:rFonts w:cs="Arial"/>
          <w:bCs/>
          <w:szCs w:val="21"/>
          <w:highlight w:val="none"/>
        </w:rPr>
      </w:pPr>
      <w:bookmarkStart w:id="106" w:name="_Hlk535526122"/>
    </w:p>
    <w:bookmarkEnd w:id="106"/>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numPr>
          <w:ilvl w:val="0"/>
          <w:numId w:val="27"/>
        </w:numPr>
        <w:adjustRightInd/>
        <w:snapToGrid/>
        <w:spacing w:before="280" w:after="290" w:line="377" w:lineRule="auto"/>
        <w:outlineLvl w:val="2"/>
        <w:rPr>
          <w:b/>
          <w:sz w:val="24"/>
          <w:highlight w:val="none"/>
        </w:rPr>
        <w:sectPr>
          <w:pgSz w:w="11906" w:h="16838"/>
          <w:pgMar w:top="1134" w:right="1134" w:bottom="1134" w:left="1418" w:header="851" w:footer="992" w:gutter="0"/>
          <w:cols w:space="425" w:num="1"/>
          <w:titlePg/>
          <w:docGrid w:linePitch="462" w:charSpace="0"/>
        </w:sectPr>
      </w:pPr>
    </w:p>
    <w:p>
      <w:pPr>
        <w:numPr>
          <w:ilvl w:val="0"/>
          <w:numId w:val="27"/>
        </w:numPr>
        <w:adjustRightInd/>
        <w:snapToGrid/>
        <w:spacing w:before="280" w:after="290" w:line="377" w:lineRule="auto"/>
        <w:outlineLvl w:val="2"/>
        <w:rPr>
          <w:b/>
          <w:bCs/>
          <w:sz w:val="24"/>
          <w:highlight w:val="none"/>
        </w:rPr>
      </w:pPr>
      <w:r>
        <w:rPr>
          <w:rFonts w:hint="eastAsia"/>
          <w:b/>
          <w:bCs/>
          <w:sz w:val="24"/>
          <w:highlight w:val="none"/>
        </w:rPr>
        <w:t>总体设计方案评价</w:t>
      </w:r>
    </w:p>
    <w:p>
      <w:pPr>
        <w:numPr>
          <w:ilvl w:val="0"/>
          <w:numId w:val="27"/>
        </w:numPr>
        <w:adjustRightInd/>
        <w:snapToGrid/>
        <w:spacing w:before="280" w:after="290" w:line="377" w:lineRule="auto"/>
        <w:outlineLvl w:val="2"/>
        <w:rPr>
          <w:b/>
          <w:sz w:val="24"/>
          <w:highlight w:val="none"/>
        </w:rPr>
      </w:pPr>
      <w:r>
        <w:rPr>
          <w:rFonts w:hint="eastAsia"/>
          <w:b/>
          <w:sz w:val="24"/>
          <w:highlight w:val="none"/>
        </w:rPr>
        <w:t>软件程序深化方案</w:t>
      </w:r>
    </w:p>
    <w:p>
      <w:pPr>
        <w:numPr>
          <w:ilvl w:val="0"/>
          <w:numId w:val="27"/>
        </w:numPr>
        <w:adjustRightInd/>
        <w:snapToGrid/>
        <w:spacing w:before="280" w:after="290" w:line="377" w:lineRule="auto"/>
        <w:outlineLvl w:val="2"/>
        <w:rPr>
          <w:b/>
          <w:sz w:val="24"/>
          <w:highlight w:val="none"/>
        </w:rPr>
      </w:pPr>
      <w:r>
        <w:rPr>
          <w:rFonts w:hint="eastAsia"/>
          <w:b/>
          <w:sz w:val="24"/>
          <w:highlight w:val="none"/>
        </w:rPr>
        <w:t>施工组织方案</w:t>
      </w:r>
    </w:p>
    <w:p>
      <w:pPr>
        <w:numPr>
          <w:ilvl w:val="0"/>
          <w:numId w:val="27"/>
        </w:numPr>
        <w:adjustRightInd/>
        <w:snapToGrid/>
        <w:spacing w:before="280" w:after="290" w:line="377" w:lineRule="auto"/>
        <w:outlineLvl w:val="2"/>
        <w:rPr>
          <w:b/>
          <w:sz w:val="24"/>
          <w:highlight w:val="none"/>
        </w:rPr>
      </w:pPr>
      <w:r>
        <w:rPr>
          <w:rFonts w:hint="eastAsia"/>
          <w:b/>
          <w:sz w:val="24"/>
          <w:highlight w:val="none"/>
        </w:rPr>
        <w:t>投标人技术文件资质证明</w:t>
      </w:r>
    </w:p>
    <w:p>
      <w:pPr>
        <w:numPr>
          <w:ilvl w:val="0"/>
          <w:numId w:val="27"/>
        </w:numPr>
        <w:adjustRightInd/>
        <w:snapToGrid/>
        <w:spacing w:before="280" w:after="290" w:line="377" w:lineRule="auto"/>
        <w:outlineLvl w:val="2"/>
        <w:rPr>
          <w:b/>
          <w:sz w:val="24"/>
          <w:highlight w:val="none"/>
        </w:rPr>
      </w:pPr>
      <w:r>
        <w:rPr>
          <w:rFonts w:hint="eastAsia"/>
          <w:b/>
          <w:bCs/>
          <w:sz w:val="24"/>
          <w:highlight w:val="none"/>
        </w:rPr>
        <w:t>扶持小微企业产品——中小企业声明函</w:t>
      </w:r>
    </w:p>
    <w:p>
      <w:pPr>
        <w:rPr>
          <w:szCs w:val="21"/>
          <w:highlight w:val="none"/>
        </w:rPr>
      </w:pPr>
      <w:r>
        <w:rPr>
          <w:szCs w:val="21"/>
          <w:highlight w:val="none"/>
        </w:rPr>
        <w:t>本公司郑重声明，根据《政府采购促进中小企业发展暂行办法》（财库[2011]181号）的规定，本公司为______（请填写：中型、小型、微型）企业。即，本公司同时满足以下条件：</w:t>
      </w:r>
    </w:p>
    <w:p>
      <w:pPr>
        <w:rPr>
          <w:szCs w:val="21"/>
          <w:highlight w:val="none"/>
        </w:rPr>
      </w:pPr>
      <w:r>
        <w:rPr>
          <w:szCs w:val="21"/>
          <w:highlight w:val="none"/>
        </w:rPr>
        <w:t>1.根据《工业和信息化部、国家统计局、国家发展和改革委员会、财政部关于印发中小企业划型标准规定的通知》（工信部联企业[2011]300号）规定的划分标准，本公司为______（请填写：中型、小型、微型）企业。</w:t>
      </w:r>
    </w:p>
    <w:p>
      <w:pPr>
        <w:rPr>
          <w:szCs w:val="21"/>
          <w:highlight w:val="none"/>
        </w:rPr>
      </w:pPr>
      <w:r>
        <w:rPr>
          <w:szCs w:val="21"/>
          <w:highlight w:val="none"/>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rPr>
          <w:szCs w:val="21"/>
          <w:highlight w:val="none"/>
        </w:rPr>
      </w:pPr>
      <w:r>
        <w:rPr>
          <w:szCs w:val="21"/>
          <w:highlight w:val="none"/>
        </w:rPr>
        <w:t>本公司对上述声明的真实性负责。如有虚假，将依法承担相应责任。</w:t>
      </w:r>
    </w:p>
    <w:p>
      <w:pPr>
        <w:rPr>
          <w:szCs w:val="21"/>
          <w:highlight w:val="none"/>
        </w:rPr>
      </w:pPr>
    </w:p>
    <w:p>
      <w:pPr>
        <w:rPr>
          <w:szCs w:val="21"/>
          <w:highlight w:val="none"/>
        </w:rPr>
      </w:pPr>
    </w:p>
    <w:p>
      <w:pPr>
        <w:jc w:val="right"/>
        <w:rPr>
          <w:szCs w:val="21"/>
          <w:highlight w:val="none"/>
        </w:rPr>
      </w:pPr>
      <w:r>
        <w:rPr>
          <w:szCs w:val="21"/>
          <w:highlight w:val="none"/>
        </w:rPr>
        <w:t>企业名称（盖章）：</w:t>
      </w:r>
    </w:p>
    <w:p>
      <w:pPr>
        <w:adjustRightInd/>
        <w:snapToGrid/>
        <w:spacing w:before="280" w:after="290" w:line="377" w:lineRule="auto"/>
        <w:jc w:val="right"/>
        <w:rPr>
          <w:b/>
          <w:sz w:val="24"/>
          <w:highlight w:val="none"/>
        </w:rPr>
      </w:pPr>
      <w:r>
        <w:rPr>
          <w:szCs w:val="21"/>
          <w:highlight w:val="none"/>
        </w:rPr>
        <w:t>日 期：</w:t>
      </w:r>
    </w:p>
    <w:p>
      <w:pPr>
        <w:numPr>
          <w:ilvl w:val="0"/>
          <w:numId w:val="27"/>
        </w:numPr>
        <w:adjustRightInd/>
        <w:snapToGrid/>
        <w:spacing w:before="280" w:after="290" w:line="377" w:lineRule="auto"/>
        <w:outlineLvl w:val="2"/>
        <w:rPr>
          <w:b/>
          <w:sz w:val="24"/>
          <w:highlight w:val="none"/>
        </w:rPr>
      </w:pPr>
      <w:r>
        <w:rPr>
          <w:rFonts w:hint="eastAsia"/>
          <w:b/>
          <w:sz w:val="24"/>
          <w:highlight w:val="none"/>
        </w:rPr>
        <w:t>业绩</w:t>
      </w:r>
    </w:p>
    <w:p>
      <w:pPr>
        <w:numPr>
          <w:ilvl w:val="0"/>
          <w:numId w:val="27"/>
        </w:numPr>
        <w:adjustRightInd/>
        <w:snapToGrid/>
        <w:spacing w:before="280" w:after="290" w:line="377" w:lineRule="auto"/>
        <w:outlineLvl w:val="2"/>
        <w:rPr>
          <w:b/>
          <w:sz w:val="24"/>
          <w:highlight w:val="none"/>
        </w:rPr>
      </w:pPr>
      <w:r>
        <w:rPr>
          <w:rFonts w:hint="eastAsia"/>
          <w:b/>
          <w:sz w:val="24"/>
          <w:highlight w:val="none"/>
        </w:rPr>
        <w:t>服务承诺</w:t>
      </w:r>
    </w:p>
    <w:p>
      <w:pPr>
        <w:numPr>
          <w:ilvl w:val="0"/>
          <w:numId w:val="27"/>
        </w:numPr>
        <w:adjustRightInd/>
        <w:snapToGrid/>
        <w:spacing w:before="280" w:after="290" w:line="377" w:lineRule="auto"/>
        <w:outlineLvl w:val="2"/>
        <w:rPr>
          <w:b/>
          <w:sz w:val="24"/>
          <w:highlight w:val="none"/>
        </w:rPr>
      </w:pPr>
      <w:r>
        <w:rPr>
          <w:rFonts w:hint="eastAsia"/>
          <w:b/>
          <w:sz w:val="24"/>
          <w:highlight w:val="none"/>
        </w:rPr>
        <w:t>企业信誉</w:t>
      </w:r>
    </w:p>
    <w:p>
      <w:pPr>
        <w:numPr>
          <w:ilvl w:val="0"/>
          <w:numId w:val="27"/>
        </w:numPr>
        <w:adjustRightInd/>
        <w:snapToGrid/>
        <w:spacing w:before="280" w:after="290" w:line="377" w:lineRule="auto"/>
        <w:outlineLvl w:val="2"/>
        <w:rPr>
          <w:b/>
          <w:sz w:val="24"/>
          <w:highlight w:val="none"/>
        </w:rPr>
      </w:pPr>
      <w:r>
        <w:rPr>
          <w:rFonts w:hint="eastAsia"/>
          <w:b/>
          <w:sz w:val="24"/>
          <w:highlight w:val="none"/>
        </w:rPr>
        <w:t>诚信加分</w:t>
      </w:r>
    </w:p>
    <w:p>
      <w:pPr>
        <w:numPr>
          <w:ilvl w:val="0"/>
          <w:numId w:val="27"/>
        </w:numPr>
        <w:adjustRightInd/>
        <w:snapToGrid/>
        <w:spacing w:before="280" w:after="290" w:line="377" w:lineRule="auto"/>
        <w:outlineLvl w:val="2"/>
        <w:rPr>
          <w:b/>
          <w:sz w:val="24"/>
          <w:highlight w:val="none"/>
        </w:rPr>
        <w:sectPr>
          <w:pgSz w:w="11906" w:h="16838"/>
          <w:pgMar w:top="1134" w:right="1134" w:bottom="1134" w:left="1418" w:header="851" w:footer="992" w:gutter="0"/>
          <w:cols w:space="425" w:num="1"/>
          <w:titlePg/>
          <w:docGrid w:linePitch="462" w:charSpace="0"/>
        </w:sectPr>
      </w:pPr>
    </w:p>
    <w:p>
      <w:pPr>
        <w:numPr>
          <w:ilvl w:val="0"/>
          <w:numId w:val="27"/>
        </w:numPr>
        <w:adjustRightInd/>
        <w:snapToGrid/>
        <w:spacing w:before="280" w:after="290" w:line="377" w:lineRule="auto"/>
        <w:outlineLvl w:val="2"/>
        <w:rPr>
          <w:b/>
          <w:sz w:val="24"/>
          <w:highlight w:val="none"/>
        </w:rPr>
      </w:pPr>
      <w:r>
        <w:rPr>
          <w:rFonts w:hint="eastAsia"/>
          <w:b/>
          <w:sz w:val="24"/>
          <w:highlight w:val="none"/>
        </w:rPr>
        <w:t>商务需求偏离情况</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商务需求偏离表</w:t>
      </w:r>
    </w:p>
    <w:p>
      <w:pPr>
        <w:tabs>
          <w:tab w:val="clear" w:pos="426"/>
        </w:tabs>
        <w:rPr>
          <w:rFonts w:cs="Arial"/>
          <w:bCs/>
          <w:szCs w:val="21"/>
          <w:highlight w:val="none"/>
        </w:rPr>
      </w:pPr>
      <w:r>
        <w:rPr>
          <w:rFonts w:hint="eastAsia" w:cs="Arial"/>
          <w:bCs/>
          <w:szCs w:val="21"/>
          <w:highlight w:val="none"/>
        </w:rPr>
        <w:t>项目名称：                         招标项目编号：                        包号：</w:t>
      </w:r>
    </w:p>
    <w:tbl>
      <w:tblPr>
        <w:tblStyle w:val="44"/>
        <w:tblW w:w="9495" w:type="dxa"/>
        <w:tblInd w:w="-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290"/>
        <w:gridCol w:w="3540"/>
        <w:gridCol w:w="2805"/>
        <w:gridCol w:w="735"/>
        <w:gridCol w:w="6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48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序号</w:t>
            </w:r>
          </w:p>
        </w:tc>
        <w:tc>
          <w:tcPr>
            <w:tcW w:w="129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目录</w:t>
            </w:r>
          </w:p>
        </w:tc>
        <w:tc>
          <w:tcPr>
            <w:tcW w:w="354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招标商务需求</w:t>
            </w:r>
          </w:p>
        </w:tc>
        <w:tc>
          <w:tcPr>
            <w:tcW w:w="2805" w:type="dxa"/>
            <w:vAlign w:val="center"/>
          </w:tcPr>
          <w:p>
            <w:pPr>
              <w:tabs>
                <w:tab w:val="clear" w:pos="426"/>
              </w:tabs>
              <w:spacing w:line="240" w:lineRule="auto"/>
              <w:jc w:val="center"/>
              <w:rPr>
                <w:rFonts w:asciiTheme="majorEastAsia" w:hAnsiTheme="majorEastAsia" w:eastAsiaTheme="majorEastAsia"/>
                <w:b/>
                <w:bCs/>
                <w:szCs w:val="21"/>
                <w:highlight w:val="none"/>
              </w:rPr>
            </w:pPr>
            <w:r>
              <w:rPr>
                <w:rFonts w:hint="eastAsia"/>
                <w:b/>
                <w:bCs/>
                <w:highlight w:val="none"/>
              </w:rPr>
              <w:t>投标商务响应</w:t>
            </w:r>
          </w:p>
        </w:tc>
        <w:tc>
          <w:tcPr>
            <w:tcW w:w="735" w:type="dxa"/>
            <w:vAlign w:val="center"/>
          </w:tcPr>
          <w:p>
            <w:pPr>
              <w:tabs>
                <w:tab w:val="clear" w:pos="426"/>
              </w:tabs>
              <w:spacing w:line="240" w:lineRule="auto"/>
              <w:jc w:val="center"/>
              <w:rPr>
                <w:rFonts w:asciiTheme="majorEastAsia" w:hAnsiTheme="majorEastAsia" w:eastAsiaTheme="majorEastAsia"/>
                <w:b/>
                <w:bCs/>
                <w:szCs w:val="21"/>
                <w:highlight w:val="none"/>
              </w:rPr>
            </w:pPr>
            <w:r>
              <w:rPr>
                <w:rFonts w:hint="eastAsia"/>
                <w:b/>
                <w:bCs/>
                <w:highlight w:val="none"/>
              </w:rPr>
              <w:t>偏离情况</w:t>
            </w:r>
          </w:p>
        </w:tc>
        <w:tc>
          <w:tcPr>
            <w:tcW w:w="645" w:type="dxa"/>
            <w:vAlign w:val="center"/>
          </w:tcPr>
          <w:p>
            <w:pPr>
              <w:tabs>
                <w:tab w:val="clear" w:pos="426"/>
              </w:tabs>
              <w:spacing w:line="240" w:lineRule="auto"/>
              <w:jc w:val="center"/>
              <w:rPr>
                <w:rFonts w:asciiTheme="majorEastAsia" w:hAnsiTheme="majorEastAsia" w:eastAsiaTheme="majorEastAsia"/>
                <w:b/>
                <w:bCs/>
                <w:szCs w:val="21"/>
                <w:highlight w:val="none"/>
              </w:rPr>
            </w:pPr>
            <w:r>
              <w:rPr>
                <w:rFonts w:hint="eastAsia"/>
                <w:b/>
                <w:bCs/>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9495" w:type="dxa"/>
            <w:gridSpan w:val="6"/>
          </w:tcPr>
          <w:p>
            <w:pP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（一）免费保修期内售后服务要求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48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1</w:t>
            </w:r>
          </w:p>
        </w:tc>
        <w:tc>
          <w:tcPr>
            <w:tcW w:w="1290" w:type="dxa"/>
            <w:vAlign w:val="center"/>
          </w:tcPr>
          <w:p>
            <w:pPr>
              <w:jc w:val="cente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免费保修期</w:t>
            </w:r>
          </w:p>
        </w:tc>
        <w:tc>
          <w:tcPr>
            <w:tcW w:w="3540" w:type="dxa"/>
          </w:tcPr>
          <w:p>
            <w:pPr>
              <w:rPr>
                <w:rFonts w:asciiTheme="majorEastAsia" w:hAnsiTheme="majorEastAsia" w:eastAsiaTheme="majorEastAsia"/>
                <w:b/>
                <w:szCs w:val="21"/>
                <w:highlight w:val="none"/>
              </w:rPr>
            </w:pPr>
            <w:r>
              <w:rPr>
                <w:rFonts w:hint="eastAsia"/>
                <w:szCs w:val="21"/>
                <w:highlight w:val="none"/>
              </w:rPr>
              <w:t>系指中标供应商提供的产品在非使用者人为破坏情况下，出现任何质量问题造成产品不能使用时，由中标供应商免费维修、更换以确保产品正常使用的时间期限。此时间期限从合同验收合格之日起计算。具体是指合同验收合格后</w:t>
            </w:r>
            <w:r>
              <w:rPr>
                <w:rFonts w:hint="eastAsia"/>
                <w:szCs w:val="21"/>
                <w:highlight w:val="none"/>
                <w:u w:val="single"/>
              </w:rPr>
              <w:t xml:space="preserve"> 365日</w:t>
            </w:r>
            <w:r>
              <w:rPr>
                <w:rFonts w:hint="eastAsia"/>
                <w:szCs w:val="21"/>
                <w:highlight w:val="none"/>
              </w:rPr>
              <w:t>内。</w:t>
            </w:r>
          </w:p>
        </w:tc>
        <w:tc>
          <w:tcPr>
            <w:tcW w:w="2805" w:type="dxa"/>
          </w:tcPr>
          <w:p>
            <w:pPr>
              <w:rPr>
                <w:szCs w:val="21"/>
                <w:highlight w:val="none"/>
              </w:rPr>
            </w:pPr>
          </w:p>
        </w:tc>
        <w:tc>
          <w:tcPr>
            <w:tcW w:w="735" w:type="dxa"/>
          </w:tcPr>
          <w:p>
            <w:pPr>
              <w:rPr>
                <w:szCs w:val="21"/>
                <w:highlight w:val="none"/>
              </w:rPr>
            </w:pPr>
          </w:p>
        </w:tc>
        <w:tc>
          <w:tcPr>
            <w:tcW w:w="645" w:type="dxa"/>
          </w:tcPr>
          <w:p>
            <w:pP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480" w:type="dxa"/>
            <w:vAlign w:val="center"/>
          </w:tcPr>
          <w:p>
            <w:pPr>
              <w:jc w:val="center"/>
              <w:rPr>
                <w:szCs w:val="21"/>
                <w:highlight w:val="none"/>
              </w:rPr>
            </w:pPr>
            <w:r>
              <w:rPr>
                <w:rFonts w:hint="eastAsia" w:asciiTheme="majorEastAsia" w:hAnsiTheme="majorEastAsia" w:eastAsiaTheme="majorEastAsia"/>
                <w:b/>
                <w:szCs w:val="21"/>
                <w:highlight w:val="none"/>
              </w:rPr>
              <w:t>2</w:t>
            </w:r>
          </w:p>
        </w:tc>
        <w:tc>
          <w:tcPr>
            <w:tcW w:w="1290" w:type="dxa"/>
            <w:vAlign w:val="center"/>
          </w:tcPr>
          <w:p>
            <w:pPr>
              <w:rPr>
                <w:szCs w:val="21"/>
                <w:highlight w:val="none"/>
              </w:rPr>
            </w:pPr>
            <w:r>
              <w:rPr>
                <w:rFonts w:hint="eastAsia"/>
                <w:szCs w:val="21"/>
                <w:highlight w:val="none"/>
              </w:rPr>
              <w:t>运行维护内容</w:t>
            </w:r>
          </w:p>
          <w:p>
            <w:pPr>
              <w:rPr>
                <w:szCs w:val="21"/>
                <w:highlight w:val="none"/>
              </w:rPr>
            </w:pPr>
          </w:p>
        </w:tc>
        <w:tc>
          <w:tcPr>
            <w:tcW w:w="3540" w:type="dxa"/>
          </w:tcPr>
          <w:p>
            <w:pPr>
              <w:rPr>
                <w:szCs w:val="21"/>
                <w:highlight w:val="none"/>
              </w:rPr>
            </w:pPr>
            <w:r>
              <w:rPr>
                <w:rFonts w:hint="eastAsia"/>
                <w:szCs w:val="21"/>
                <w:highlight w:val="none"/>
              </w:rPr>
              <w:t>在工程施工过程中，将派技术人员进行全程技术支持，解决施工中与其它工种技术配合问题，对系统应用的产品安装和应用提供技术指导。</w:t>
            </w:r>
          </w:p>
          <w:p>
            <w:pPr>
              <w:rPr>
                <w:szCs w:val="21"/>
                <w:highlight w:val="none"/>
              </w:rPr>
            </w:pPr>
            <w:r>
              <w:rPr>
                <w:rFonts w:hint="eastAsia"/>
                <w:szCs w:val="21"/>
                <w:highlight w:val="none"/>
              </w:rPr>
              <w:t>工程完工后，将负责系统测试和调试，并保证工程达到优良标准。</w:t>
            </w:r>
          </w:p>
          <w:p>
            <w:pPr>
              <w:rPr>
                <w:szCs w:val="21"/>
                <w:highlight w:val="none"/>
              </w:rPr>
            </w:pPr>
          </w:p>
        </w:tc>
        <w:tc>
          <w:tcPr>
            <w:tcW w:w="2805" w:type="dxa"/>
          </w:tcPr>
          <w:p>
            <w:pPr>
              <w:rPr>
                <w:szCs w:val="21"/>
                <w:highlight w:val="none"/>
              </w:rPr>
            </w:pPr>
          </w:p>
        </w:tc>
        <w:tc>
          <w:tcPr>
            <w:tcW w:w="735" w:type="dxa"/>
          </w:tcPr>
          <w:p>
            <w:pPr>
              <w:rPr>
                <w:szCs w:val="21"/>
                <w:highlight w:val="none"/>
              </w:rPr>
            </w:pPr>
          </w:p>
        </w:tc>
        <w:tc>
          <w:tcPr>
            <w:tcW w:w="645" w:type="dxa"/>
          </w:tcPr>
          <w:p>
            <w:pP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9495" w:type="dxa"/>
            <w:gridSpan w:val="6"/>
          </w:tcPr>
          <w:p>
            <w:pP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（二）其他商务要求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1" w:hRule="atLeast"/>
        </w:trPr>
        <w:tc>
          <w:tcPr>
            <w:tcW w:w="48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1</w:t>
            </w:r>
          </w:p>
        </w:tc>
        <w:tc>
          <w:tcPr>
            <w:tcW w:w="1290" w:type="dxa"/>
            <w:vAlign w:val="center"/>
          </w:tcPr>
          <w:p>
            <w:pPr>
              <w:jc w:val="center"/>
              <w:rPr>
                <w:rFonts w:asciiTheme="majorEastAsia" w:hAnsiTheme="majorEastAsia" w:eastAsiaTheme="majorEastAsia"/>
                <w:szCs w:val="21"/>
                <w:highlight w:val="none"/>
              </w:rPr>
            </w:pPr>
            <w:r>
              <w:rPr>
                <w:rFonts w:hint="eastAsia"/>
                <w:b/>
                <w:szCs w:val="21"/>
                <w:highlight w:val="none"/>
              </w:rPr>
              <w:t>※</w:t>
            </w:r>
            <w:r>
              <w:rPr>
                <w:rFonts w:hint="eastAsia" w:asciiTheme="majorEastAsia" w:hAnsiTheme="majorEastAsia" w:eastAsiaTheme="majorEastAsia"/>
                <w:b/>
                <w:szCs w:val="21"/>
                <w:highlight w:val="none"/>
              </w:rPr>
              <w:t>关于工期</w:t>
            </w:r>
          </w:p>
        </w:tc>
        <w:tc>
          <w:tcPr>
            <w:tcW w:w="3540" w:type="dxa"/>
            <w:vAlign w:val="center"/>
          </w:tcPr>
          <w:p>
            <w:pPr>
              <w:spacing w:beforeLines="100" w:afterLines="50" w:line="300" w:lineRule="auto"/>
              <w:rPr>
                <w:rFonts w:asciiTheme="majorEastAsia" w:hAnsiTheme="majorEastAsia" w:eastAsiaTheme="majorEastAsia"/>
                <w:bCs/>
                <w:szCs w:val="21"/>
                <w:highlight w:val="none"/>
              </w:rPr>
            </w:pPr>
            <w:r>
              <w:rPr>
                <w:b/>
                <w:szCs w:val="21"/>
                <w:highlight w:val="none"/>
              </w:rPr>
              <w:t>完成安装、调试，验收合格交付使用的时间。具体是指合同签订后</w:t>
            </w:r>
            <w:r>
              <w:rPr>
                <w:rFonts w:hint="eastAsia"/>
                <w:b/>
                <w:szCs w:val="21"/>
                <w:highlight w:val="none"/>
                <w:u w:val="single"/>
              </w:rPr>
              <w:t>40</w:t>
            </w:r>
            <w:r>
              <w:rPr>
                <w:b/>
                <w:szCs w:val="21"/>
                <w:highlight w:val="none"/>
              </w:rPr>
              <w:t>日</w:t>
            </w:r>
            <w:r>
              <w:rPr>
                <w:rFonts w:hint="eastAsia"/>
                <w:b/>
                <w:szCs w:val="21"/>
                <w:highlight w:val="none"/>
              </w:rPr>
              <w:t>历日</w:t>
            </w:r>
            <w:r>
              <w:rPr>
                <w:b/>
                <w:szCs w:val="21"/>
                <w:highlight w:val="none"/>
              </w:rPr>
              <w:t>内。</w:t>
            </w:r>
          </w:p>
        </w:tc>
        <w:tc>
          <w:tcPr>
            <w:tcW w:w="2805" w:type="dxa"/>
            <w:vAlign w:val="center"/>
          </w:tcPr>
          <w:p>
            <w:pPr>
              <w:spacing w:beforeLines="100" w:afterLines="50" w:line="300" w:lineRule="auto"/>
              <w:rPr>
                <w:b/>
                <w:szCs w:val="21"/>
                <w:highlight w:val="none"/>
              </w:rPr>
            </w:pPr>
          </w:p>
        </w:tc>
        <w:tc>
          <w:tcPr>
            <w:tcW w:w="735" w:type="dxa"/>
            <w:vAlign w:val="center"/>
          </w:tcPr>
          <w:p>
            <w:pPr>
              <w:spacing w:beforeLines="100" w:afterLines="50" w:line="300" w:lineRule="auto"/>
              <w:rPr>
                <w:b/>
                <w:szCs w:val="21"/>
                <w:highlight w:val="none"/>
              </w:rPr>
            </w:pPr>
          </w:p>
        </w:tc>
        <w:tc>
          <w:tcPr>
            <w:tcW w:w="645" w:type="dxa"/>
            <w:vAlign w:val="center"/>
          </w:tcPr>
          <w:p>
            <w:pPr>
              <w:spacing w:beforeLines="100" w:afterLines="50" w:line="300" w:lineRule="auto"/>
              <w:rPr>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480" w:type="dxa"/>
            <w:vMerge w:val="restart"/>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2</w:t>
            </w:r>
          </w:p>
        </w:tc>
        <w:tc>
          <w:tcPr>
            <w:tcW w:w="1290" w:type="dxa"/>
            <w:vMerge w:val="restart"/>
            <w:vAlign w:val="center"/>
          </w:tcPr>
          <w:p>
            <w:pPr>
              <w:jc w:val="cente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报价</w:t>
            </w:r>
          </w:p>
        </w:tc>
        <w:tc>
          <w:tcPr>
            <w:tcW w:w="3540" w:type="dxa"/>
          </w:tcPr>
          <w:p>
            <w:pPr>
              <w:rPr>
                <w:rFonts w:asciiTheme="majorEastAsia" w:hAnsiTheme="majorEastAsia" w:eastAsiaTheme="majorEastAsia"/>
                <w:bCs/>
                <w:szCs w:val="21"/>
                <w:highlight w:val="none"/>
              </w:rPr>
            </w:pPr>
            <w:r>
              <w:rPr>
                <w:rFonts w:hint="eastAsia" w:asciiTheme="majorEastAsia" w:hAnsiTheme="majorEastAsia" w:eastAsiaTheme="majorEastAsia"/>
                <w:bCs/>
                <w:szCs w:val="21"/>
                <w:highlight w:val="none"/>
              </w:rPr>
              <w:t>2.1投标人的投标总报价高于财政控制金额为无效投标；</w:t>
            </w:r>
          </w:p>
        </w:tc>
        <w:tc>
          <w:tcPr>
            <w:tcW w:w="2805" w:type="dxa"/>
          </w:tcPr>
          <w:p>
            <w:pPr>
              <w:rPr>
                <w:rFonts w:asciiTheme="majorEastAsia" w:hAnsiTheme="majorEastAsia" w:eastAsiaTheme="majorEastAsia"/>
                <w:bCs/>
                <w:szCs w:val="21"/>
                <w:highlight w:val="none"/>
              </w:rPr>
            </w:pPr>
          </w:p>
        </w:tc>
        <w:tc>
          <w:tcPr>
            <w:tcW w:w="735" w:type="dxa"/>
          </w:tcPr>
          <w:p>
            <w:pPr>
              <w:rPr>
                <w:rFonts w:asciiTheme="majorEastAsia" w:hAnsiTheme="majorEastAsia" w:eastAsiaTheme="majorEastAsia"/>
                <w:bCs/>
                <w:szCs w:val="21"/>
                <w:highlight w:val="none"/>
              </w:rPr>
            </w:pPr>
          </w:p>
        </w:tc>
        <w:tc>
          <w:tcPr>
            <w:tcW w:w="645" w:type="dxa"/>
          </w:tcPr>
          <w:p>
            <w:pPr>
              <w:rPr>
                <w:rFonts w:asciiTheme="majorEastAsia" w:hAnsiTheme="majorEastAsia" w:eastAsiaTheme="majorEastAsia"/>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480" w:type="dxa"/>
            <w:vMerge w:val="continue"/>
            <w:vAlign w:val="center"/>
          </w:tcPr>
          <w:p>
            <w:pPr>
              <w:jc w:val="center"/>
              <w:rPr>
                <w:rFonts w:asciiTheme="majorEastAsia" w:hAnsiTheme="majorEastAsia" w:eastAsiaTheme="majorEastAsia"/>
                <w:b/>
                <w:szCs w:val="21"/>
                <w:highlight w:val="none"/>
              </w:rPr>
            </w:pPr>
          </w:p>
        </w:tc>
        <w:tc>
          <w:tcPr>
            <w:tcW w:w="1290" w:type="dxa"/>
            <w:vMerge w:val="continue"/>
            <w:vAlign w:val="center"/>
          </w:tcPr>
          <w:p>
            <w:pPr>
              <w:jc w:val="center"/>
              <w:rPr>
                <w:rFonts w:asciiTheme="majorEastAsia" w:hAnsiTheme="majorEastAsia" w:eastAsiaTheme="majorEastAsia"/>
                <w:szCs w:val="21"/>
                <w:highlight w:val="none"/>
              </w:rPr>
            </w:pPr>
          </w:p>
        </w:tc>
        <w:tc>
          <w:tcPr>
            <w:tcW w:w="3540" w:type="dxa"/>
          </w:tcPr>
          <w:p>
            <w:pPr>
              <w:rPr>
                <w:rFonts w:asciiTheme="majorEastAsia" w:hAnsiTheme="majorEastAsia" w:eastAsiaTheme="majorEastAsia"/>
                <w:bCs/>
                <w:szCs w:val="21"/>
                <w:highlight w:val="none"/>
              </w:rPr>
            </w:pPr>
            <w:r>
              <w:rPr>
                <w:rFonts w:hint="eastAsia" w:asciiTheme="majorEastAsia" w:hAnsiTheme="majorEastAsia" w:eastAsiaTheme="majorEastAsia"/>
                <w:bCs/>
                <w:szCs w:val="21"/>
                <w:highlight w:val="none"/>
              </w:rPr>
              <w:t>2.2以人民币为结算单位，投标报价包含完成项目所需的一切费用。</w:t>
            </w:r>
          </w:p>
        </w:tc>
        <w:tc>
          <w:tcPr>
            <w:tcW w:w="2805" w:type="dxa"/>
          </w:tcPr>
          <w:p>
            <w:pPr>
              <w:rPr>
                <w:rFonts w:asciiTheme="majorEastAsia" w:hAnsiTheme="majorEastAsia" w:eastAsiaTheme="majorEastAsia"/>
                <w:bCs/>
                <w:szCs w:val="21"/>
                <w:highlight w:val="none"/>
              </w:rPr>
            </w:pPr>
          </w:p>
        </w:tc>
        <w:tc>
          <w:tcPr>
            <w:tcW w:w="735" w:type="dxa"/>
          </w:tcPr>
          <w:p>
            <w:pPr>
              <w:rPr>
                <w:rFonts w:asciiTheme="majorEastAsia" w:hAnsiTheme="majorEastAsia" w:eastAsiaTheme="majorEastAsia"/>
                <w:bCs/>
                <w:szCs w:val="21"/>
                <w:highlight w:val="none"/>
              </w:rPr>
            </w:pPr>
          </w:p>
        </w:tc>
        <w:tc>
          <w:tcPr>
            <w:tcW w:w="645" w:type="dxa"/>
          </w:tcPr>
          <w:p>
            <w:pPr>
              <w:rPr>
                <w:rFonts w:asciiTheme="majorEastAsia" w:hAnsiTheme="majorEastAsia" w:eastAsiaTheme="majorEastAsia"/>
                <w:bCs/>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48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3</w:t>
            </w:r>
          </w:p>
        </w:tc>
        <w:tc>
          <w:tcPr>
            <w:tcW w:w="1290" w:type="dxa"/>
            <w:vAlign w:val="center"/>
          </w:tcPr>
          <w:p>
            <w:pPr>
              <w:jc w:val="cente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关于验收</w:t>
            </w:r>
          </w:p>
        </w:tc>
        <w:tc>
          <w:tcPr>
            <w:tcW w:w="3540" w:type="dxa"/>
          </w:tcPr>
          <w:p>
            <w:pPr>
              <w:spacing w:line="340" w:lineRule="exact"/>
              <w:rPr>
                <w:rFonts w:asciiTheme="majorEastAsia" w:hAnsiTheme="majorEastAsia" w:eastAsiaTheme="majorEastAsia"/>
                <w:bCs/>
                <w:szCs w:val="21"/>
                <w:highlight w:val="none"/>
              </w:rPr>
            </w:pPr>
            <w:r>
              <w:rPr>
                <w:rFonts w:hint="eastAsia"/>
                <w:szCs w:val="21"/>
                <w:highlight w:val="none"/>
              </w:rPr>
              <w:t>在竣工验收时，将向采购单位提供符合国家档案部门的要求编制成册的工程竣工图及有关的技术档案资料。</w:t>
            </w:r>
          </w:p>
        </w:tc>
        <w:tc>
          <w:tcPr>
            <w:tcW w:w="2805" w:type="dxa"/>
          </w:tcPr>
          <w:p>
            <w:pPr>
              <w:spacing w:line="340" w:lineRule="exact"/>
              <w:rPr>
                <w:szCs w:val="21"/>
                <w:highlight w:val="none"/>
              </w:rPr>
            </w:pPr>
          </w:p>
        </w:tc>
        <w:tc>
          <w:tcPr>
            <w:tcW w:w="735" w:type="dxa"/>
          </w:tcPr>
          <w:p>
            <w:pPr>
              <w:spacing w:line="340" w:lineRule="exact"/>
              <w:rPr>
                <w:szCs w:val="21"/>
                <w:highlight w:val="none"/>
              </w:rPr>
            </w:pPr>
          </w:p>
        </w:tc>
        <w:tc>
          <w:tcPr>
            <w:tcW w:w="645" w:type="dxa"/>
          </w:tcPr>
          <w:p>
            <w:pPr>
              <w:spacing w:line="340" w:lineRule="exact"/>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480" w:type="dxa"/>
            <w:vAlign w:val="center"/>
          </w:tcPr>
          <w:p>
            <w:pPr>
              <w:jc w:val="center"/>
              <w:rPr>
                <w:rFonts w:asciiTheme="majorEastAsia" w:hAnsiTheme="majorEastAsia" w:eastAsiaTheme="majorEastAsia"/>
                <w:b/>
                <w:szCs w:val="21"/>
                <w:highlight w:val="none"/>
              </w:rPr>
            </w:pPr>
            <w:r>
              <w:rPr>
                <w:rFonts w:hint="eastAsia" w:asciiTheme="majorEastAsia" w:hAnsiTheme="majorEastAsia" w:eastAsiaTheme="majorEastAsia"/>
                <w:b/>
                <w:szCs w:val="21"/>
                <w:highlight w:val="none"/>
              </w:rPr>
              <w:t>4</w:t>
            </w:r>
          </w:p>
        </w:tc>
        <w:tc>
          <w:tcPr>
            <w:tcW w:w="1290" w:type="dxa"/>
          </w:tcPr>
          <w:p>
            <w:pPr>
              <w:jc w:val="center"/>
              <w:rPr>
                <w:rFonts w:asciiTheme="majorEastAsia" w:hAnsiTheme="majorEastAsia" w:eastAsiaTheme="majorEastAsia"/>
                <w:szCs w:val="21"/>
                <w:highlight w:val="none"/>
              </w:rPr>
            </w:pPr>
            <w:r>
              <w:rPr>
                <w:rFonts w:hint="eastAsia"/>
                <w:b/>
                <w:szCs w:val="21"/>
                <w:highlight w:val="none"/>
              </w:rPr>
              <w:t>※</w:t>
            </w:r>
            <w:r>
              <w:rPr>
                <w:rFonts w:hint="eastAsia" w:asciiTheme="majorEastAsia" w:hAnsiTheme="majorEastAsia" w:eastAsiaTheme="majorEastAsia"/>
                <w:b/>
                <w:szCs w:val="21"/>
                <w:highlight w:val="none"/>
              </w:rPr>
              <w:t>付款方式</w:t>
            </w:r>
          </w:p>
        </w:tc>
        <w:tc>
          <w:tcPr>
            <w:tcW w:w="3540" w:type="dxa"/>
          </w:tcPr>
          <w:p>
            <w:pPr>
              <w:rPr>
                <w:rFonts w:asciiTheme="majorEastAsia" w:hAnsiTheme="majorEastAsia" w:eastAsiaTheme="majorEastAsia"/>
                <w:szCs w:val="21"/>
                <w:highlight w:val="none"/>
              </w:rPr>
            </w:pPr>
            <w:r>
              <w:rPr>
                <w:rFonts w:hint="eastAsia" w:asciiTheme="majorEastAsia" w:hAnsiTheme="majorEastAsia" w:eastAsiaTheme="majorEastAsia"/>
                <w:szCs w:val="21"/>
                <w:highlight w:val="none"/>
              </w:rPr>
              <w:t>按南山区财政局相关规定支付。</w:t>
            </w:r>
          </w:p>
        </w:tc>
        <w:tc>
          <w:tcPr>
            <w:tcW w:w="2805" w:type="dxa"/>
          </w:tcPr>
          <w:p>
            <w:pPr>
              <w:rPr>
                <w:rFonts w:asciiTheme="majorEastAsia" w:hAnsiTheme="majorEastAsia" w:eastAsiaTheme="majorEastAsia"/>
                <w:szCs w:val="21"/>
                <w:highlight w:val="none"/>
              </w:rPr>
            </w:pPr>
          </w:p>
        </w:tc>
        <w:tc>
          <w:tcPr>
            <w:tcW w:w="735" w:type="dxa"/>
          </w:tcPr>
          <w:p>
            <w:pPr>
              <w:rPr>
                <w:rFonts w:asciiTheme="majorEastAsia" w:hAnsiTheme="majorEastAsia" w:eastAsiaTheme="majorEastAsia"/>
                <w:szCs w:val="21"/>
                <w:highlight w:val="none"/>
              </w:rPr>
            </w:pPr>
          </w:p>
        </w:tc>
        <w:tc>
          <w:tcPr>
            <w:tcW w:w="645" w:type="dxa"/>
          </w:tcPr>
          <w:p>
            <w:pPr>
              <w:rPr>
                <w:rFonts w:asciiTheme="majorEastAsia" w:hAnsiTheme="majorEastAsia" w:eastAsiaTheme="majorEastAsia"/>
                <w:szCs w:val="21"/>
                <w:highlight w:val="none"/>
              </w:rPr>
            </w:pPr>
          </w:p>
        </w:tc>
      </w:tr>
    </w:tbl>
    <w:p>
      <w:pPr>
        <w:tabs>
          <w:tab w:val="clear" w:pos="426"/>
        </w:tabs>
        <w:rPr>
          <w:rFonts w:cs="Arial"/>
          <w:bCs/>
          <w:szCs w:val="21"/>
          <w:highlight w:val="none"/>
        </w:rPr>
      </w:pPr>
      <w:r>
        <w:rPr>
          <w:rFonts w:hint="eastAsia" w:cs="Arial"/>
          <w:bCs/>
          <w:szCs w:val="21"/>
          <w:highlight w:val="none"/>
        </w:rPr>
        <w:t>备注：</w:t>
      </w:r>
    </w:p>
    <w:p>
      <w:pPr>
        <w:tabs>
          <w:tab w:val="clear" w:pos="426"/>
        </w:tabs>
        <w:ind w:firstLine="630" w:firstLineChars="300"/>
        <w:rPr>
          <w:rFonts w:cs="Arial"/>
          <w:bCs/>
          <w:szCs w:val="21"/>
          <w:highlight w:val="none"/>
        </w:rPr>
      </w:pPr>
      <w:r>
        <w:rPr>
          <w:rFonts w:hint="eastAsia" w:cs="Arial"/>
          <w:bCs/>
          <w:szCs w:val="21"/>
          <w:highlight w:val="none"/>
        </w:rPr>
        <w:t>1. “招标商务条款”一栏必须填写招标文件第三章“商务需求”的内容进行填写。</w:t>
      </w:r>
    </w:p>
    <w:p>
      <w:pPr>
        <w:tabs>
          <w:tab w:val="clear" w:pos="426"/>
        </w:tabs>
        <w:ind w:firstLine="630" w:firstLineChars="300"/>
        <w:rPr>
          <w:rFonts w:cs="Arial"/>
          <w:bCs/>
          <w:szCs w:val="21"/>
          <w:highlight w:val="none"/>
        </w:rPr>
      </w:pPr>
      <w:r>
        <w:rPr>
          <w:rFonts w:hint="eastAsia" w:cs="Arial"/>
          <w:bCs/>
          <w:szCs w:val="21"/>
          <w:highlight w:val="none"/>
        </w:rPr>
        <w:t>2. “投标商务响应</w:t>
      </w:r>
      <w:r>
        <w:rPr>
          <w:rFonts w:cs="Arial"/>
          <w:bCs/>
          <w:szCs w:val="21"/>
          <w:highlight w:val="none"/>
        </w:rPr>
        <w:t>”</w:t>
      </w:r>
      <w:r>
        <w:rPr>
          <w:rFonts w:hint="eastAsia" w:cs="Arial"/>
          <w:bCs/>
          <w:szCs w:val="21"/>
          <w:highlight w:val="none"/>
        </w:rPr>
        <w:t>一栏必须详细填写投标商务条款的内容。</w:t>
      </w:r>
    </w:p>
    <w:p>
      <w:pPr>
        <w:tabs>
          <w:tab w:val="clear" w:pos="426"/>
        </w:tabs>
        <w:ind w:firstLine="630" w:firstLineChars="300"/>
        <w:rPr>
          <w:rFonts w:cs="Arial"/>
          <w:bCs/>
          <w:szCs w:val="21"/>
          <w:highlight w:val="none"/>
        </w:rPr>
      </w:pPr>
      <w:r>
        <w:rPr>
          <w:rFonts w:hint="eastAsia" w:cs="Arial"/>
          <w:bCs/>
          <w:szCs w:val="21"/>
          <w:highlight w:val="none"/>
        </w:rPr>
        <w:t>3.“偏离情况”栏中应填写“正偏离”、“负偏离”或 “无偏离</w:t>
      </w:r>
      <w:r>
        <w:rPr>
          <w:rFonts w:cs="Arial"/>
          <w:bCs/>
          <w:szCs w:val="21"/>
          <w:highlight w:val="none"/>
        </w:rPr>
        <w:t>”</w:t>
      </w:r>
      <w:r>
        <w:rPr>
          <w:rFonts w:hint="eastAsia" w:cs="Arial"/>
          <w:bCs/>
          <w:szCs w:val="21"/>
          <w:highlight w:val="none"/>
        </w:rPr>
        <w:t>。</w:t>
      </w: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tabs>
          <w:tab w:val="clear" w:pos="426"/>
        </w:tabs>
        <w:ind w:firstLine="420" w:firstLineChars="200"/>
        <w:rPr>
          <w:rFonts w:cs="Arial"/>
          <w:bCs/>
          <w:szCs w:val="21"/>
          <w:highlight w:val="none"/>
        </w:rPr>
      </w:pPr>
    </w:p>
    <w:p>
      <w:pPr>
        <w:shd w:val="clear" w:color="auto" w:fill="auto"/>
        <w:tabs>
          <w:tab w:val="clear" w:pos="426"/>
        </w:tabs>
        <w:adjustRightInd/>
        <w:snapToGrid/>
        <w:spacing w:line="240" w:lineRule="auto"/>
        <w:jc w:val="left"/>
        <w:rPr>
          <w:b/>
          <w:sz w:val="24"/>
          <w:highlight w:val="none"/>
        </w:rPr>
      </w:pPr>
      <w:r>
        <w:rPr>
          <w:b/>
          <w:sz w:val="24"/>
          <w:highlight w:val="none"/>
        </w:rPr>
        <w:br w:type="page"/>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numPr>
          <w:ilvl w:val="0"/>
          <w:numId w:val="27"/>
        </w:numPr>
        <w:adjustRightInd/>
        <w:snapToGrid/>
        <w:spacing w:before="280" w:after="290" w:line="377" w:lineRule="auto"/>
        <w:outlineLvl w:val="2"/>
        <w:rPr>
          <w:b/>
          <w:sz w:val="24"/>
          <w:highlight w:val="none"/>
        </w:rPr>
      </w:pPr>
      <w:r>
        <w:rPr>
          <w:rFonts w:hint="eastAsia"/>
          <w:b/>
          <w:sz w:val="24"/>
          <w:highlight w:val="none"/>
        </w:rPr>
        <w:t>招标代理服务费承诺书</w:t>
      </w: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bookmarkStart w:id="107" w:name="_Toc480789488"/>
      <w:bookmarkStart w:id="108" w:name="_Toc480755938"/>
      <w:bookmarkStart w:id="109" w:name="_Toc480756084"/>
      <w:bookmarkStart w:id="110" w:name="_Toc480754217"/>
      <w:bookmarkStart w:id="111" w:name="_Toc275865624"/>
      <w:r>
        <w:rPr>
          <w:rFonts w:hint="eastAsia" w:cs="Times New Roman"/>
          <w:bCs/>
          <w:kern w:val="2"/>
          <w:sz w:val="32"/>
          <w:szCs w:val="32"/>
          <w:highlight w:val="none"/>
        </w:rPr>
        <w:t>招标代理服务费承诺书</w:t>
      </w:r>
      <w:bookmarkEnd w:id="107"/>
      <w:bookmarkEnd w:id="108"/>
      <w:bookmarkEnd w:id="109"/>
      <w:bookmarkEnd w:id="110"/>
      <w:bookmarkEnd w:id="111"/>
    </w:p>
    <w:p>
      <w:pPr>
        <w:tabs>
          <w:tab w:val="clear" w:pos="426"/>
        </w:tabs>
        <w:adjustRightInd/>
        <w:snapToGrid/>
        <w:rPr>
          <w:b/>
          <w:highlight w:val="none"/>
        </w:rPr>
      </w:pPr>
    </w:p>
    <w:p>
      <w:pPr>
        <w:tabs>
          <w:tab w:val="clear" w:pos="426"/>
        </w:tabs>
        <w:adjustRightInd/>
        <w:snapToGrid/>
        <w:rPr>
          <w:highlight w:val="none"/>
        </w:rPr>
      </w:pPr>
      <w:r>
        <w:rPr>
          <w:rFonts w:hint="eastAsia"/>
          <w:highlight w:val="none"/>
        </w:rPr>
        <w:t>深圳市深水水务咨询有限公司：</w:t>
      </w:r>
    </w:p>
    <w:p>
      <w:pPr>
        <w:tabs>
          <w:tab w:val="clear" w:pos="426"/>
        </w:tabs>
        <w:adjustRightInd/>
        <w:snapToGrid/>
        <w:ind w:firstLine="420" w:firstLineChars="200"/>
        <w:rPr>
          <w:szCs w:val="21"/>
          <w:highlight w:val="none"/>
        </w:rPr>
      </w:pPr>
      <w:r>
        <w:rPr>
          <w:rFonts w:hint="eastAsia"/>
          <w:highlight w:val="none"/>
        </w:rPr>
        <w:t>本公司</w:t>
      </w:r>
      <w:r>
        <w:rPr>
          <w:rFonts w:hint="eastAsia"/>
          <w:highlight w:val="none"/>
          <w:u w:val="single"/>
        </w:rPr>
        <w:t xml:space="preserve"> (投标人名称)  </w:t>
      </w:r>
      <w:r>
        <w:rPr>
          <w:rFonts w:hint="eastAsia"/>
          <w:highlight w:val="none"/>
        </w:rPr>
        <w:t>在参加</w:t>
      </w:r>
      <w:r>
        <w:rPr>
          <w:rFonts w:hint="eastAsia"/>
          <w:highlight w:val="none"/>
          <w:u w:val="single"/>
        </w:rPr>
        <w:t>（项目名称）</w:t>
      </w:r>
      <w:r>
        <w:rPr>
          <w:rFonts w:hint="eastAsia"/>
          <w:highlight w:val="none"/>
        </w:rPr>
        <w:t>(招标项目编号：</w:t>
      </w:r>
      <w:r>
        <w:rPr>
          <w:rFonts w:hint="eastAsia"/>
          <w:highlight w:val="none"/>
          <w:u w:val="single"/>
        </w:rPr>
        <w:t>（项目编号）</w:t>
      </w:r>
      <w:r>
        <w:rPr>
          <w:rFonts w:hint="eastAsia"/>
          <w:highlight w:val="none"/>
        </w:rPr>
        <w:t>)的招标中如获中标</w:t>
      </w:r>
      <w:r>
        <w:rPr>
          <w:rFonts w:hint="eastAsia"/>
          <w:szCs w:val="21"/>
          <w:highlight w:val="none"/>
        </w:rPr>
        <w:t>，我公司保证按照招标文件</w:t>
      </w:r>
      <w:r>
        <w:rPr>
          <w:rFonts w:hint="eastAsia"/>
          <w:highlight w:val="none"/>
        </w:rPr>
        <w:t>的</w:t>
      </w:r>
      <w:r>
        <w:rPr>
          <w:rFonts w:hint="eastAsia"/>
          <w:szCs w:val="21"/>
          <w:highlight w:val="none"/>
        </w:rPr>
        <w:t>规定缴纳“招标代理服务费”后，凭领取人身份证复印件并加盖公章领取《中标通知书》。如采用电汇或银行转账，我</w:t>
      </w:r>
      <w:r>
        <w:rPr>
          <w:rFonts w:hint="eastAsia"/>
          <w:highlight w:val="none"/>
        </w:rPr>
        <w:t>公</w:t>
      </w:r>
      <w:r>
        <w:rPr>
          <w:rFonts w:hint="eastAsia"/>
          <w:szCs w:val="21"/>
          <w:highlight w:val="none"/>
        </w:rPr>
        <w:t>司将同时递交招标代理服务费缴费凭证复印件并加盖公章。</w:t>
      </w:r>
    </w:p>
    <w:p>
      <w:pPr>
        <w:tabs>
          <w:tab w:val="clear" w:pos="426"/>
        </w:tabs>
        <w:adjustRightInd/>
        <w:snapToGrid/>
        <w:ind w:firstLine="420" w:firstLineChars="200"/>
        <w:rPr>
          <w:highlight w:val="none"/>
        </w:rPr>
      </w:pPr>
      <w:r>
        <w:rPr>
          <w:rFonts w:hint="eastAsia"/>
          <w:highlight w:val="none"/>
        </w:rPr>
        <w:t>如我公司违反上款承诺，愿凭贵公司开出的相关通知，同意（采购代理机构名称）办理支付手续，扣除我公司提交的全部投标保证金，并愿承担由此引起的一切法律责任。</w:t>
      </w:r>
    </w:p>
    <w:p>
      <w:pPr>
        <w:tabs>
          <w:tab w:val="clear" w:pos="426"/>
        </w:tabs>
        <w:adjustRightInd/>
        <w:snapToGrid/>
        <w:ind w:firstLine="420" w:firstLineChars="200"/>
        <w:rPr>
          <w:highlight w:val="none"/>
        </w:rPr>
      </w:pPr>
      <w:r>
        <w:rPr>
          <w:rFonts w:hint="eastAsia"/>
          <w:highlight w:val="none"/>
        </w:rPr>
        <w:t>特此承诺!</w:t>
      </w:r>
    </w:p>
    <w:p>
      <w:pPr>
        <w:tabs>
          <w:tab w:val="clear" w:pos="426"/>
        </w:tabs>
        <w:spacing w:line="520" w:lineRule="exact"/>
        <w:ind w:left="424" w:leftChars="202"/>
        <w:rPr>
          <w:highlight w:val="none"/>
          <w:u w:val="single"/>
        </w:rPr>
      </w:pPr>
      <w:r>
        <w:rPr>
          <w:rFonts w:hint="eastAsia"/>
          <w:highlight w:val="none"/>
        </w:rPr>
        <w:t>投标人名称(盖公章):</w:t>
      </w:r>
    </w:p>
    <w:p>
      <w:pPr>
        <w:tabs>
          <w:tab w:val="clear" w:pos="426"/>
        </w:tabs>
        <w:spacing w:line="520" w:lineRule="exact"/>
        <w:ind w:left="424" w:leftChars="202"/>
        <w:rPr>
          <w:highlight w:val="none"/>
          <w:u w:val="single"/>
        </w:rPr>
      </w:pPr>
      <w:r>
        <w:rPr>
          <w:rFonts w:hint="eastAsia"/>
          <w:highlight w:val="none"/>
        </w:rPr>
        <w:t>投标人地址:</w:t>
      </w:r>
    </w:p>
    <w:p>
      <w:pPr>
        <w:tabs>
          <w:tab w:val="clear" w:pos="426"/>
        </w:tabs>
        <w:spacing w:line="520" w:lineRule="exact"/>
        <w:ind w:left="424" w:leftChars="202"/>
        <w:rPr>
          <w:highlight w:val="none"/>
        </w:rPr>
      </w:pPr>
      <w:r>
        <w:rPr>
          <w:rFonts w:hint="eastAsia"/>
          <w:highlight w:val="none"/>
        </w:rPr>
        <w:t>电话:</w:t>
      </w:r>
    </w:p>
    <w:p>
      <w:pPr>
        <w:tabs>
          <w:tab w:val="clear" w:pos="426"/>
        </w:tabs>
        <w:spacing w:line="520" w:lineRule="exact"/>
        <w:ind w:left="424" w:leftChars="202"/>
        <w:rPr>
          <w:highlight w:val="none"/>
        </w:rPr>
      </w:pPr>
      <w:r>
        <w:rPr>
          <w:rFonts w:hint="eastAsia"/>
          <w:highlight w:val="none"/>
        </w:rPr>
        <w:t>传真:</w:t>
      </w:r>
    </w:p>
    <w:p>
      <w:pPr>
        <w:tabs>
          <w:tab w:val="clear" w:pos="426"/>
        </w:tabs>
        <w:spacing w:line="520" w:lineRule="exact"/>
        <w:ind w:left="424" w:leftChars="202"/>
        <w:rPr>
          <w:highlight w:val="none"/>
          <w:u w:val="single"/>
        </w:rPr>
      </w:pPr>
      <w:r>
        <w:rPr>
          <w:rFonts w:hint="eastAsia"/>
          <w:highlight w:val="none"/>
        </w:rPr>
        <w:t>法定代表人或投标人授权代表（签名或盖章）</w:t>
      </w:r>
    </w:p>
    <w:p>
      <w:pPr>
        <w:tabs>
          <w:tab w:val="clear" w:pos="426"/>
        </w:tabs>
        <w:spacing w:line="520" w:lineRule="exact"/>
        <w:ind w:left="424" w:leftChars="202"/>
        <w:rPr>
          <w:highlight w:val="none"/>
          <w:u w:val="single"/>
        </w:rPr>
      </w:pPr>
    </w:p>
    <w:p>
      <w:pPr>
        <w:shd w:val="clear" w:color="auto" w:fill="auto"/>
        <w:tabs>
          <w:tab w:val="clear" w:pos="426"/>
        </w:tabs>
        <w:adjustRightInd/>
        <w:snapToGrid/>
        <w:spacing w:line="240" w:lineRule="auto"/>
        <w:jc w:val="left"/>
        <w:rPr>
          <w:rFonts w:cs="Times New Roman"/>
          <w:bCs/>
          <w:kern w:val="2"/>
          <w:sz w:val="32"/>
          <w:szCs w:val="32"/>
          <w:highlight w:val="none"/>
        </w:rPr>
        <w:sectPr>
          <w:pgSz w:w="11906" w:h="16838"/>
          <w:pgMar w:top="1134" w:right="1134" w:bottom="1134" w:left="1418" w:header="851" w:footer="992" w:gutter="0"/>
          <w:cols w:space="425" w:num="1"/>
          <w:titlePg/>
          <w:docGrid w:linePitch="462" w:charSpace="0"/>
        </w:sect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p>
    <w:p>
      <w:pPr>
        <w:widowControl w:val="0"/>
        <w:shd w:val="clear" w:color="auto" w:fill="auto"/>
        <w:tabs>
          <w:tab w:val="clear" w:pos="426"/>
        </w:tabs>
        <w:adjustRightInd/>
        <w:snapToGrid/>
        <w:spacing w:line="300" w:lineRule="auto"/>
        <w:jc w:val="center"/>
        <w:rPr>
          <w:rFonts w:cs="Times New Roman"/>
          <w:bCs/>
          <w:kern w:val="2"/>
          <w:sz w:val="32"/>
          <w:szCs w:val="32"/>
          <w:highlight w:val="none"/>
        </w:rPr>
      </w:pPr>
      <w:r>
        <w:rPr>
          <w:rFonts w:hint="eastAsia" w:cs="Times New Roman"/>
          <w:bCs/>
          <w:kern w:val="2"/>
          <w:sz w:val="32"/>
          <w:szCs w:val="32"/>
          <w:highlight w:val="none"/>
        </w:rPr>
        <w:t>招标代理服务费发票开具须知</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1159" w:type="dxa"/>
            <w:vAlign w:val="center"/>
          </w:tcPr>
          <w:p>
            <w:pPr>
              <w:tabs>
                <w:tab w:val="clear" w:pos="426"/>
              </w:tabs>
              <w:spacing w:line="520" w:lineRule="exact"/>
              <w:rPr>
                <w:b/>
                <w:highlight w:val="none"/>
              </w:rPr>
            </w:pPr>
            <w:r>
              <w:rPr>
                <w:rFonts w:hint="eastAsia"/>
                <w:b/>
                <w:highlight w:val="none"/>
              </w:rPr>
              <w:t>发票类型</w:t>
            </w:r>
          </w:p>
        </w:tc>
        <w:tc>
          <w:tcPr>
            <w:tcW w:w="7363" w:type="dxa"/>
            <w:vAlign w:val="center"/>
          </w:tcPr>
          <w:p>
            <w:pPr>
              <w:tabs>
                <w:tab w:val="clear" w:pos="426"/>
              </w:tabs>
              <w:spacing w:line="520" w:lineRule="exact"/>
              <w:ind w:firstLine="420" w:firstLineChars="200"/>
              <w:rPr>
                <w:highlight w:val="none"/>
              </w:rPr>
            </w:pPr>
            <w:r>
              <w:rPr>
                <w:rFonts w:hint="eastAsia"/>
                <w:highlight w:val="none"/>
              </w:rPr>
              <w:t>□增值税普通发票          □增值税专用发票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jc w:val="center"/>
        </w:trPr>
        <w:tc>
          <w:tcPr>
            <w:tcW w:w="8522" w:type="dxa"/>
            <w:gridSpan w:val="2"/>
            <w:vAlign w:val="center"/>
          </w:tcPr>
          <w:p>
            <w:pPr>
              <w:tabs>
                <w:tab w:val="clear" w:pos="426"/>
              </w:tabs>
              <w:spacing w:line="520" w:lineRule="exact"/>
              <w:rPr>
                <w:highlight w:val="none"/>
              </w:rPr>
            </w:pPr>
            <w:r>
              <w:rPr>
                <w:rFonts w:hint="eastAsia"/>
                <w:highlight w:val="none"/>
              </w:rPr>
              <w:t>如选择增值税专用发票，需提供以下材料，投标时密封于开标信封中：</w:t>
            </w:r>
          </w:p>
          <w:p>
            <w:pPr>
              <w:tabs>
                <w:tab w:val="clear" w:pos="426"/>
              </w:tabs>
              <w:spacing w:line="520" w:lineRule="exact"/>
              <w:rPr>
                <w:highlight w:val="none"/>
              </w:rPr>
            </w:pPr>
            <w:r>
              <w:rPr>
                <w:rFonts w:hint="eastAsia"/>
                <w:highlight w:val="none"/>
              </w:rPr>
              <w:t xml:space="preserve">1、营业执照、一般纳税人资格认定税务通知书或其他可证明具有该项资格证明文件的复印件，加盖单位公章； </w:t>
            </w:r>
          </w:p>
          <w:p>
            <w:pPr>
              <w:tabs>
                <w:tab w:val="clear" w:pos="426"/>
              </w:tabs>
              <w:spacing w:line="520" w:lineRule="exact"/>
              <w:rPr>
                <w:highlight w:val="none"/>
              </w:rPr>
            </w:pPr>
            <w:r>
              <w:rPr>
                <w:rFonts w:hint="eastAsia"/>
                <w:highlight w:val="none"/>
              </w:rPr>
              <w:t>2、客户的开票资料（单位名称、纳税人识别号、地址、电话、开户行全称及账号</w:t>
            </w:r>
            <w:r>
              <w:rPr>
                <w:highlight w:val="none"/>
              </w:rPr>
              <w:t>）</w:t>
            </w:r>
            <w:r>
              <w:rPr>
                <w:rFonts w:hint="eastAsia"/>
                <w:highlight w:val="none"/>
              </w:rPr>
              <w:t>，加盖单位公章。</w:t>
            </w:r>
          </w:p>
        </w:tc>
      </w:tr>
    </w:tbl>
    <w:p>
      <w:pPr>
        <w:tabs>
          <w:tab w:val="clear" w:pos="426"/>
        </w:tabs>
        <w:rPr>
          <w:b/>
          <w:szCs w:val="21"/>
          <w:highlight w:val="none"/>
        </w:rPr>
      </w:pPr>
    </w:p>
    <w:p>
      <w:pPr>
        <w:tabs>
          <w:tab w:val="clear" w:pos="426"/>
        </w:tabs>
        <w:rPr>
          <w:b/>
          <w:szCs w:val="21"/>
          <w:highlight w:val="none"/>
        </w:rPr>
      </w:pPr>
    </w:p>
    <w:p>
      <w:pPr>
        <w:tabs>
          <w:tab w:val="clear" w:pos="426"/>
        </w:tabs>
        <w:jc w:val="center"/>
        <w:rPr>
          <w:b/>
          <w:szCs w:val="21"/>
          <w:highlight w:val="none"/>
        </w:rPr>
      </w:pPr>
      <w:r>
        <w:rPr>
          <w:rFonts w:hint="eastAsia"/>
          <w:b/>
          <w:szCs w:val="21"/>
          <w:highlight w:val="none"/>
        </w:rPr>
        <w:t>附：缴纳</w:t>
      </w:r>
      <w:r>
        <w:rPr>
          <w:b/>
          <w:szCs w:val="21"/>
          <w:highlight w:val="none"/>
        </w:rPr>
        <w:t>招标代理服务费</w:t>
      </w:r>
      <w:r>
        <w:rPr>
          <w:rFonts w:hint="eastAsia"/>
          <w:b/>
          <w:szCs w:val="21"/>
          <w:highlight w:val="none"/>
        </w:rPr>
        <w:t>账号</w:t>
      </w:r>
      <w:r>
        <w:rPr>
          <w:b/>
          <w:szCs w:val="21"/>
          <w:highlight w:val="none"/>
        </w:rPr>
        <w:t>：</w:t>
      </w:r>
    </w:p>
    <w:tbl>
      <w:tblPr>
        <w:tblStyle w:val="44"/>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55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b/>
                <w:szCs w:val="21"/>
                <w:highlight w:val="none"/>
              </w:rPr>
              <w:t>收款人名称</w:t>
            </w:r>
          </w:p>
        </w:tc>
        <w:tc>
          <w:tcPr>
            <w:tcW w:w="5579" w:type="dxa"/>
            <w:vAlign w:val="center"/>
          </w:tcPr>
          <w:p>
            <w:pPr>
              <w:tabs>
                <w:tab w:val="clear" w:pos="426"/>
              </w:tabs>
              <w:spacing w:line="240" w:lineRule="auto"/>
              <w:jc w:val="center"/>
              <w:rPr>
                <w:szCs w:val="21"/>
                <w:highlight w:val="none"/>
              </w:rPr>
            </w:pPr>
            <w:r>
              <w:rPr>
                <w:rFonts w:hint="eastAsia"/>
                <w:szCs w:val="21"/>
                <w:highlight w:val="none"/>
              </w:rPr>
              <w:t>深圳市深水水务咨询有限公司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b/>
                <w:szCs w:val="21"/>
                <w:highlight w:val="none"/>
              </w:rPr>
              <w:t>开户银行</w:t>
            </w:r>
          </w:p>
        </w:tc>
        <w:tc>
          <w:tcPr>
            <w:tcW w:w="5579" w:type="dxa"/>
            <w:vAlign w:val="center"/>
          </w:tcPr>
          <w:p>
            <w:pPr>
              <w:tabs>
                <w:tab w:val="clear" w:pos="426"/>
              </w:tabs>
              <w:spacing w:line="240" w:lineRule="auto"/>
              <w:jc w:val="center"/>
              <w:rPr>
                <w:b/>
                <w:szCs w:val="21"/>
                <w:highlight w:val="none"/>
              </w:rPr>
            </w:pPr>
            <w:r>
              <w:rPr>
                <w:rFonts w:hint="eastAsia"/>
                <w:highlight w:val="none"/>
              </w:rPr>
              <w:t>中国工商银行深圳红围支行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jc w:val="center"/>
        </w:trPr>
        <w:tc>
          <w:tcPr>
            <w:tcW w:w="2943" w:type="dxa"/>
            <w:vAlign w:val="center"/>
          </w:tcPr>
          <w:p>
            <w:pPr>
              <w:tabs>
                <w:tab w:val="clear" w:pos="426"/>
              </w:tabs>
              <w:spacing w:line="240" w:lineRule="auto"/>
              <w:jc w:val="center"/>
              <w:rPr>
                <w:b/>
                <w:szCs w:val="21"/>
                <w:highlight w:val="none"/>
              </w:rPr>
            </w:pPr>
            <w:r>
              <w:rPr>
                <w:rFonts w:hint="eastAsia"/>
                <w:b/>
                <w:szCs w:val="21"/>
                <w:highlight w:val="none"/>
              </w:rPr>
              <w:t>账</w:t>
            </w:r>
            <w:r>
              <w:rPr>
                <w:b/>
                <w:szCs w:val="21"/>
                <w:highlight w:val="none"/>
              </w:rPr>
              <w:t xml:space="preserve">    号</w:t>
            </w:r>
          </w:p>
        </w:tc>
        <w:tc>
          <w:tcPr>
            <w:tcW w:w="5579" w:type="dxa"/>
            <w:vAlign w:val="center"/>
          </w:tcPr>
          <w:p>
            <w:pPr>
              <w:tabs>
                <w:tab w:val="clear" w:pos="426"/>
              </w:tabs>
              <w:spacing w:line="240" w:lineRule="auto"/>
              <w:jc w:val="center"/>
              <w:rPr>
                <w:b/>
                <w:szCs w:val="21"/>
                <w:highlight w:val="none"/>
              </w:rPr>
            </w:pPr>
            <w:r>
              <w:rPr>
                <w:rFonts w:hint="eastAsia"/>
                <w:highlight w:val="none"/>
              </w:rPr>
              <w:t>4000021219200366130</w:t>
            </w:r>
          </w:p>
        </w:tc>
      </w:tr>
    </w:tbl>
    <w:p>
      <w:pPr>
        <w:tabs>
          <w:tab w:val="clear" w:pos="426"/>
        </w:tabs>
        <w:rPr>
          <w:rFonts w:cs="Arial"/>
          <w:bCs/>
          <w:sz w:val="24"/>
          <w:highlight w:val="none"/>
        </w:rPr>
      </w:pPr>
    </w:p>
    <w:p>
      <w:pPr>
        <w:tabs>
          <w:tab w:val="clear" w:pos="426"/>
        </w:tabs>
        <w:spacing w:line="440" w:lineRule="exact"/>
        <w:rPr>
          <w:bCs/>
          <w:highlight w:val="none"/>
        </w:rPr>
      </w:pPr>
    </w:p>
    <w:p>
      <w:pPr>
        <w:tabs>
          <w:tab w:val="clear" w:pos="426"/>
        </w:tabs>
        <w:spacing w:line="440" w:lineRule="exact"/>
        <w:rPr>
          <w:spacing w:val="4"/>
          <w:highlight w:val="none"/>
          <w:u w:val="single"/>
        </w:rPr>
      </w:pPr>
    </w:p>
    <w:p>
      <w:pPr>
        <w:numPr>
          <w:ilvl w:val="0"/>
          <w:numId w:val="27"/>
        </w:numPr>
        <w:adjustRightInd/>
        <w:snapToGrid/>
        <w:spacing w:before="280" w:after="290" w:line="377" w:lineRule="auto"/>
        <w:outlineLvl w:val="2"/>
        <w:rPr>
          <w:b/>
          <w:sz w:val="24"/>
          <w:highlight w:val="none"/>
        </w:rPr>
      </w:pPr>
      <w:r>
        <w:rPr>
          <w:spacing w:val="4"/>
          <w:highlight w:val="none"/>
          <w:u w:val="single"/>
        </w:rPr>
        <w:br w:type="page"/>
      </w:r>
      <w:bookmarkEnd w:id="98"/>
      <w:bookmarkEnd w:id="99"/>
      <w:bookmarkEnd w:id="100"/>
      <w:bookmarkEnd w:id="101"/>
      <w:r>
        <w:rPr>
          <w:rFonts w:hint="eastAsia"/>
          <w:b/>
          <w:bCs/>
          <w:sz w:val="24"/>
          <w:highlight w:val="none"/>
        </w:rPr>
        <w:t>招标文件要求的其他内容及投标人认为需要加以说明的其他内容</w:t>
      </w:r>
    </w:p>
    <w:p>
      <w:pPr>
        <w:tabs>
          <w:tab w:val="clear" w:pos="426"/>
        </w:tabs>
        <w:adjustRightInd/>
        <w:snapToGrid/>
        <w:ind w:firstLine="420" w:firstLineChars="200"/>
        <w:rPr>
          <w:highlight w:val="none"/>
        </w:rPr>
      </w:pPr>
      <w:bookmarkStart w:id="112" w:name="_Toc398220528"/>
      <w:r>
        <w:rPr>
          <w:rFonts w:hint="eastAsia"/>
          <w:highlight w:val="none"/>
        </w:rPr>
        <w:t>提供招标公告和评标信息中关于投标人的其他相关证明文件（如评标信息中涉及的各种证件（身份证除外）、设备发票等，未涉及的可以不提供）。</w:t>
      </w:r>
    </w:p>
    <w:p>
      <w:pPr>
        <w:tabs>
          <w:tab w:val="clear" w:pos="426"/>
        </w:tabs>
        <w:rPr>
          <w:highlight w:val="none"/>
        </w:rPr>
      </w:pPr>
    </w:p>
    <w:p>
      <w:pPr>
        <w:tabs>
          <w:tab w:val="clear" w:pos="426"/>
        </w:tabs>
        <w:rPr>
          <w:highlight w:val="none"/>
        </w:rPr>
      </w:pPr>
    </w:p>
    <w:p>
      <w:pPr>
        <w:pStyle w:val="42"/>
        <w:tabs>
          <w:tab w:val="clear" w:pos="426"/>
        </w:tabs>
        <w:rPr>
          <w:highlight w:val="none"/>
        </w:rPr>
      </w:pPr>
      <w:r>
        <w:rPr>
          <w:highlight w:val="none"/>
        </w:rPr>
        <w:br w:type="page"/>
      </w:r>
      <w:bookmarkStart w:id="113" w:name="_Toc27482"/>
      <w:bookmarkStart w:id="114" w:name="_Toc5875393"/>
      <w:r>
        <w:rPr>
          <w:rFonts w:hint="eastAsia"/>
          <w:highlight w:val="none"/>
        </w:rPr>
        <w:t>第二册通用条款</w:t>
      </w:r>
      <w:bookmarkEnd w:id="112"/>
      <w:bookmarkEnd w:id="113"/>
      <w:bookmarkEnd w:id="114"/>
    </w:p>
    <w:p>
      <w:pPr>
        <w:jc w:val="center"/>
        <w:rPr>
          <w:b/>
          <w:highlight w:val="none"/>
        </w:rPr>
      </w:pPr>
      <w:bookmarkStart w:id="115" w:name="_Toc398220529"/>
      <w:bookmarkStart w:id="116" w:name="_Toc432592821"/>
      <w:r>
        <w:rPr>
          <w:rFonts w:hint="eastAsia"/>
          <w:b/>
          <w:highlight w:val="none"/>
        </w:rPr>
        <w:t>（投标人须知）</w:t>
      </w:r>
    </w:p>
    <w:p>
      <w:pPr>
        <w:pStyle w:val="5"/>
        <w:rPr>
          <w:highlight w:val="none"/>
        </w:rPr>
      </w:pPr>
      <w:bookmarkStart w:id="117" w:name="_Toc23487"/>
      <w:bookmarkStart w:id="118" w:name="_Toc5875394"/>
      <w:r>
        <w:rPr>
          <w:rFonts w:hint="eastAsia"/>
          <w:highlight w:val="none"/>
        </w:rPr>
        <w:t>第一章 总则</w:t>
      </w:r>
      <w:bookmarkEnd w:id="115"/>
      <w:bookmarkEnd w:id="116"/>
      <w:bookmarkEnd w:id="117"/>
      <w:bookmarkEnd w:id="118"/>
    </w:p>
    <w:p>
      <w:pPr>
        <w:tabs>
          <w:tab w:val="clear" w:pos="426"/>
        </w:tabs>
        <w:rPr>
          <w:highlight w:val="none"/>
        </w:rPr>
      </w:pPr>
      <w:r>
        <w:rPr>
          <w:rFonts w:hint="eastAsia"/>
          <w:highlight w:val="none"/>
        </w:rPr>
        <w:t>1.通用条款说明</w:t>
      </w:r>
    </w:p>
    <w:p>
      <w:pPr>
        <w:tabs>
          <w:tab w:val="clear" w:pos="426"/>
        </w:tabs>
        <w:rPr>
          <w:highlight w:val="none"/>
        </w:rPr>
      </w:pPr>
      <w:r>
        <w:rPr>
          <w:rFonts w:hint="eastAsia"/>
          <w:highlight w:val="none"/>
        </w:rPr>
        <w:t>1.1采购代理机构发出招标文件通用条款版本，列出深圳市政府采购项目进行招标采购所适用的通用条款内容。如有需要，采购代理机构可以对这些条款增加附录或补充内容。</w:t>
      </w:r>
    </w:p>
    <w:p>
      <w:pPr>
        <w:tabs>
          <w:tab w:val="clear" w:pos="426"/>
        </w:tabs>
        <w:rPr>
          <w:highlight w:val="none"/>
        </w:rPr>
      </w:pPr>
      <w:bookmarkStart w:id="119" w:name="_Toc73518119"/>
      <w:bookmarkStart w:id="120" w:name="_Toc60631622"/>
      <w:bookmarkStart w:id="121" w:name="_Toc100052366"/>
      <w:bookmarkStart w:id="122" w:name="_Toc73517641"/>
      <w:bookmarkStart w:id="123" w:name="_Toc60560627"/>
      <w:bookmarkStart w:id="124" w:name="_Toc73521637"/>
      <w:bookmarkStart w:id="125" w:name="_Toc73521549"/>
      <w:bookmarkStart w:id="126" w:name="_Toc60631624"/>
      <w:bookmarkStart w:id="127" w:name="_Toc73521639"/>
      <w:bookmarkStart w:id="128" w:name="_Toc100052368"/>
      <w:bookmarkStart w:id="129" w:name="_Toc73521551"/>
      <w:bookmarkStart w:id="130" w:name="_Toc73517643"/>
      <w:bookmarkStart w:id="131" w:name="_Toc73518121"/>
      <w:bookmarkStart w:id="132" w:name="_Toc60560629"/>
      <w:r>
        <w:rPr>
          <w:rFonts w:hint="eastAsia"/>
          <w:highlight w:val="none"/>
        </w:rPr>
        <w:t>2</w:t>
      </w:r>
      <w:r>
        <w:rPr>
          <w:highlight w:val="none"/>
        </w:rPr>
        <w:t>．</w:t>
      </w:r>
      <w:r>
        <w:rPr>
          <w:rFonts w:hint="eastAsia"/>
          <w:highlight w:val="none"/>
        </w:rPr>
        <w:t>招标说明</w:t>
      </w:r>
      <w:bookmarkEnd w:id="119"/>
      <w:bookmarkEnd w:id="120"/>
      <w:bookmarkEnd w:id="121"/>
      <w:bookmarkEnd w:id="122"/>
      <w:bookmarkEnd w:id="123"/>
      <w:bookmarkEnd w:id="124"/>
      <w:bookmarkEnd w:id="125"/>
    </w:p>
    <w:p>
      <w:pPr>
        <w:tabs>
          <w:tab w:val="clear" w:pos="426"/>
        </w:tabs>
        <w:rPr>
          <w:color w:val="000000"/>
          <w:szCs w:val="21"/>
          <w:highlight w:val="none"/>
        </w:rPr>
      </w:pPr>
      <w:r>
        <w:rPr>
          <w:rFonts w:hint="eastAsia"/>
          <w:highlight w:val="none"/>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szCs w:val="21"/>
          <w:highlight w:val="none"/>
        </w:rPr>
        <w:t>本招标文件适用于</w:t>
      </w:r>
      <w:r>
        <w:rPr>
          <w:rFonts w:hint="eastAsia"/>
          <w:szCs w:val="21"/>
          <w:highlight w:val="none"/>
        </w:rPr>
        <w:t>采购公告中所述项目的</w:t>
      </w:r>
      <w:r>
        <w:rPr>
          <w:rFonts w:hint="eastAsia"/>
          <w:color w:val="000000"/>
          <w:szCs w:val="21"/>
          <w:highlight w:val="none"/>
        </w:rPr>
        <w:t>政府采购。</w:t>
      </w:r>
    </w:p>
    <w:p>
      <w:pPr>
        <w:tabs>
          <w:tab w:val="clear" w:pos="426"/>
        </w:tabs>
        <w:rPr>
          <w:color w:val="000000"/>
          <w:szCs w:val="21"/>
          <w:highlight w:val="none"/>
        </w:rPr>
      </w:pPr>
      <w:r>
        <w:rPr>
          <w:rFonts w:hint="eastAsia"/>
          <w:color w:val="000000"/>
          <w:szCs w:val="21"/>
          <w:highlight w:val="none"/>
        </w:rPr>
        <w:t>本招标文件的解释权归属深圳市深水水务咨询有限公司。</w:t>
      </w:r>
    </w:p>
    <w:p>
      <w:pPr>
        <w:tabs>
          <w:tab w:val="clear" w:pos="426"/>
        </w:tabs>
        <w:rPr>
          <w:highlight w:val="none"/>
        </w:rPr>
      </w:pPr>
      <w:bookmarkStart w:id="133" w:name="_Toc60631623"/>
      <w:bookmarkStart w:id="134" w:name="_Toc73517642"/>
      <w:bookmarkStart w:id="135" w:name="_Toc73518120"/>
      <w:bookmarkStart w:id="136" w:name="_Toc73521550"/>
      <w:bookmarkStart w:id="137" w:name="_Toc100052367"/>
      <w:bookmarkStart w:id="138" w:name="_Toc73521638"/>
      <w:bookmarkStart w:id="139" w:name="_Toc60560628"/>
      <w:r>
        <w:rPr>
          <w:rFonts w:hint="eastAsia"/>
          <w:highlight w:val="none"/>
        </w:rPr>
        <w:t>3．定义</w:t>
      </w:r>
      <w:bookmarkEnd w:id="133"/>
      <w:bookmarkEnd w:id="134"/>
      <w:bookmarkEnd w:id="135"/>
      <w:bookmarkEnd w:id="136"/>
      <w:bookmarkEnd w:id="137"/>
      <w:bookmarkEnd w:id="138"/>
      <w:bookmarkEnd w:id="139"/>
    </w:p>
    <w:p>
      <w:pPr>
        <w:tabs>
          <w:tab w:val="clear" w:pos="426"/>
        </w:tabs>
        <w:rPr>
          <w:highlight w:val="none"/>
        </w:rPr>
      </w:pPr>
      <w:r>
        <w:rPr>
          <w:highlight w:val="none"/>
        </w:rPr>
        <w:t>招标文件中下列术语应解释为：</w:t>
      </w:r>
    </w:p>
    <w:p>
      <w:pPr>
        <w:tabs>
          <w:tab w:val="clear" w:pos="426"/>
        </w:tabs>
        <w:rPr>
          <w:highlight w:val="none"/>
        </w:rPr>
      </w:pPr>
      <w:r>
        <w:rPr>
          <w:rFonts w:hint="eastAsia"/>
          <w:szCs w:val="21"/>
          <w:highlight w:val="none"/>
        </w:rPr>
        <w:t>3.</w:t>
      </w:r>
      <w:r>
        <w:rPr>
          <w:szCs w:val="21"/>
          <w:highlight w:val="none"/>
        </w:rPr>
        <w:t>1</w:t>
      </w:r>
      <w:r>
        <w:rPr>
          <w:rFonts w:hint="eastAsia"/>
          <w:szCs w:val="21"/>
          <w:highlight w:val="none"/>
        </w:rPr>
        <w:t>“采购代理机构”</w:t>
      </w:r>
      <w:r>
        <w:rPr>
          <w:rFonts w:hint="eastAsia"/>
          <w:highlight w:val="none"/>
        </w:rPr>
        <w:t>系指政府设立的负责本级财政性资金的集中采购和招标组织工作的专门机构；本项目</w:t>
      </w:r>
      <w:r>
        <w:rPr>
          <w:highlight w:val="none"/>
        </w:rPr>
        <w:t>系指</w:t>
      </w:r>
      <w:r>
        <w:rPr>
          <w:rFonts w:hint="eastAsia"/>
          <w:highlight w:val="none"/>
        </w:rPr>
        <w:t>深圳市深水水务咨询有限公司；</w:t>
      </w:r>
    </w:p>
    <w:p>
      <w:pPr>
        <w:tabs>
          <w:tab w:val="clear" w:pos="426"/>
        </w:tabs>
        <w:rPr>
          <w:highlight w:val="none"/>
        </w:rPr>
      </w:pPr>
      <w:r>
        <w:rPr>
          <w:rFonts w:hint="eastAsia"/>
          <w:highlight w:val="none"/>
        </w:rPr>
        <w:t xml:space="preserve">3.2“采购人”或“采购单位”：系指利用财政性资金依法进行政府采购的国家机关、事业单位、团体组织； </w:t>
      </w:r>
    </w:p>
    <w:p>
      <w:pPr>
        <w:tabs>
          <w:tab w:val="clear" w:pos="426"/>
        </w:tabs>
        <w:rPr>
          <w:highlight w:val="none"/>
        </w:rPr>
      </w:pPr>
      <w:r>
        <w:rPr>
          <w:rFonts w:hint="eastAsia"/>
          <w:highlight w:val="none"/>
        </w:rPr>
        <w:t>3.3“投标人”或“投标方”，即供应商，是指参加投标竞争并愿意按照招标文件要求向采购人提供货物、工程或者服务的依法成立的法人、其他组织或者自然人；</w:t>
      </w:r>
    </w:p>
    <w:p>
      <w:pPr>
        <w:tabs>
          <w:tab w:val="clear" w:pos="426"/>
        </w:tabs>
        <w:rPr>
          <w:highlight w:val="none"/>
        </w:rPr>
      </w:pPr>
      <w:r>
        <w:rPr>
          <w:rFonts w:hint="eastAsia"/>
          <w:highlight w:val="none"/>
        </w:rPr>
        <w:t>3.4“评标委员会”和“谈判小组”是依据《深圳经济特区政府采购条例》有关规定组建的专门负责本次招标其评标（谈判）工作的临时性机构；</w:t>
      </w:r>
    </w:p>
    <w:p>
      <w:pPr>
        <w:tabs>
          <w:tab w:val="clear" w:pos="426"/>
        </w:tabs>
        <w:rPr>
          <w:highlight w:val="none"/>
        </w:rPr>
      </w:pPr>
      <w:r>
        <w:rPr>
          <w:rFonts w:hint="eastAsia"/>
          <w:highlight w:val="none"/>
        </w:rPr>
        <w:t>3.5“日期”</w:t>
      </w:r>
      <w:r>
        <w:rPr>
          <w:highlight w:val="none"/>
        </w:rPr>
        <w:t>指</w:t>
      </w:r>
      <w:r>
        <w:rPr>
          <w:rFonts w:hint="eastAsia"/>
          <w:highlight w:val="none"/>
        </w:rPr>
        <w:t>公历日；</w:t>
      </w:r>
    </w:p>
    <w:p>
      <w:pPr>
        <w:tabs>
          <w:tab w:val="clear" w:pos="426"/>
        </w:tabs>
        <w:rPr>
          <w:highlight w:val="none"/>
        </w:rPr>
      </w:pPr>
      <w:r>
        <w:rPr>
          <w:rFonts w:hint="eastAsia"/>
          <w:highlight w:val="none"/>
        </w:rPr>
        <w:t>3.6“合同”指由本次招标所产生的合同或合约文件；</w:t>
      </w:r>
    </w:p>
    <w:p>
      <w:pPr>
        <w:tabs>
          <w:tab w:val="clear" w:pos="426"/>
        </w:tabs>
        <w:rPr>
          <w:highlight w:val="none"/>
        </w:rPr>
      </w:pPr>
      <w:r>
        <w:rPr>
          <w:rFonts w:hint="eastAsia"/>
          <w:highlight w:val="none"/>
        </w:rPr>
        <w:t>3.7招标文件中的标题或题名仅起引导作用，而不应视为对招标文件内容的理解和解释。</w:t>
      </w:r>
    </w:p>
    <w:p>
      <w:pPr>
        <w:tabs>
          <w:tab w:val="clear" w:pos="426"/>
        </w:tabs>
        <w:rPr>
          <w:highlight w:val="none"/>
        </w:rPr>
      </w:pPr>
      <w:r>
        <w:rPr>
          <w:rFonts w:hint="eastAsia"/>
          <w:highlight w:val="none"/>
        </w:rPr>
        <w:t>4. 政府采购供应商责任</w:t>
      </w:r>
    </w:p>
    <w:p>
      <w:pPr>
        <w:tabs>
          <w:tab w:val="clear" w:pos="426"/>
        </w:tabs>
        <w:rPr>
          <w:highlight w:val="none"/>
        </w:rPr>
      </w:pPr>
      <w:r>
        <w:rPr>
          <w:rFonts w:hint="eastAsia"/>
          <w:highlight w:val="none"/>
        </w:rPr>
        <w:t>4.1欢迎诚信、有实力和有社会责任心的供应商参与政府采购事业。</w:t>
      </w:r>
    </w:p>
    <w:p>
      <w:pPr>
        <w:tabs>
          <w:tab w:val="clear" w:pos="426"/>
        </w:tabs>
        <w:rPr>
          <w:highlight w:val="none"/>
        </w:rPr>
      </w:pPr>
      <w:r>
        <w:rPr>
          <w:rFonts w:hint="eastAsia"/>
          <w:highlight w:val="none"/>
        </w:rPr>
        <w:t>4.2供应商在政府采购项目投标过程中应诚实守信，不弄虚作假，不隐瞒真实情况，不围标串标，不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pPr>
        <w:tabs>
          <w:tab w:val="clear" w:pos="426"/>
        </w:tabs>
        <w:rPr>
          <w:highlight w:val="none"/>
        </w:rPr>
      </w:pPr>
      <w:r>
        <w:rPr>
          <w:rFonts w:hint="eastAsia"/>
          <w:highlight w:val="none"/>
        </w:rPr>
        <w:t>5．</w:t>
      </w:r>
      <w:bookmarkEnd w:id="126"/>
      <w:bookmarkEnd w:id="127"/>
      <w:bookmarkEnd w:id="128"/>
      <w:bookmarkEnd w:id="129"/>
      <w:bookmarkEnd w:id="130"/>
      <w:bookmarkEnd w:id="131"/>
      <w:bookmarkEnd w:id="132"/>
      <w:r>
        <w:rPr>
          <w:rFonts w:hint="eastAsia"/>
          <w:highlight w:val="none"/>
        </w:rPr>
        <w:t>合格的投标人</w:t>
      </w:r>
    </w:p>
    <w:p>
      <w:pPr>
        <w:widowControl w:val="0"/>
        <w:shd w:val="clear" w:color="auto" w:fill="auto"/>
        <w:tabs>
          <w:tab w:val="clear" w:pos="426"/>
        </w:tabs>
        <w:autoSpaceDE w:val="0"/>
        <w:autoSpaceDN w:val="0"/>
        <w:rPr>
          <w:szCs w:val="21"/>
          <w:highlight w:val="none"/>
        </w:rPr>
      </w:pPr>
      <w:bookmarkStart w:id="140" w:name="_Toc73517645"/>
      <w:bookmarkStart w:id="141" w:name="_Toc100052370"/>
      <w:bookmarkStart w:id="142" w:name="_Toc73521553"/>
      <w:bookmarkStart w:id="143" w:name="_Toc60631626"/>
      <w:bookmarkStart w:id="144" w:name="_Toc73518123"/>
      <w:bookmarkStart w:id="145" w:name="_Toc60560631"/>
      <w:bookmarkStart w:id="146" w:name="_Toc73521641"/>
      <w:r>
        <w:rPr>
          <w:rFonts w:hint="eastAsia"/>
          <w:szCs w:val="21"/>
          <w:highlight w:val="none"/>
        </w:rPr>
        <w:t>5.1 投标人是响应招标并且符合招标文件规定资格条件和参加投标竞争的法人、其他组织或者自然人。</w:t>
      </w:r>
    </w:p>
    <w:p>
      <w:pPr>
        <w:widowControl w:val="0"/>
        <w:shd w:val="clear" w:color="auto" w:fill="auto"/>
        <w:tabs>
          <w:tab w:val="clear" w:pos="426"/>
        </w:tabs>
        <w:autoSpaceDE w:val="0"/>
        <w:autoSpaceDN w:val="0"/>
        <w:rPr>
          <w:szCs w:val="21"/>
          <w:highlight w:val="none"/>
          <w:lang w:eastAsia="zh-TW"/>
        </w:rPr>
      </w:pPr>
      <w:r>
        <w:rPr>
          <w:rFonts w:hint="eastAsia"/>
          <w:szCs w:val="21"/>
          <w:highlight w:val="none"/>
        </w:rPr>
        <w:t xml:space="preserve">5.2 </w:t>
      </w:r>
      <w:r>
        <w:rPr>
          <w:rFonts w:hint="eastAsia"/>
          <w:szCs w:val="21"/>
          <w:highlight w:val="none"/>
          <w:lang w:eastAsia="zh-TW"/>
        </w:rPr>
        <w:t>合格的投标人</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5.2.1 </w:t>
      </w:r>
      <w:r>
        <w:rPr>
          <w:szCs w:val="21"/>
          <w:highlight w:val="none"/>
        </w:rPr>
        <w:t>具有独立承担民事责任的能力。</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5.2.2 </w:t>
      </w:r>
      <w:r>
        <w:rPr>
          <w:szCs w:val="21"/>
          <w:highlight w:val="none"/>
        </w:rPr>
        <w:t>具有良好的商业信誉和健全的财务会计制度</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5.2.3 </w:t>
      </w:r>
      <w:r>
        <w:rPr>
          <w:szCs w:val="21"/>
          <w:highlight w:val="none"/>
        </w:rPr>
        <w:t>具有履行合同所必需的设备和专业技术能力</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5.2.4 </w:t>
      </w:r>
      <w:r>
        <w:rPr>
          <w:szCs w:val="21"/>
          <w:highlight w:val="none"/>
        </w:rPr>
        <w:t>有依法缴纳税收和社会保障资金的良好记录</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5.2.5 </w:t>
      </w:r>
      <w:r>
        <w:rPr>
          <w:szCs w:val="21"/>
          <w:highlight w:val="none"/>
        </w:rPr>
        <w:t>参加政府采购活动前三年内，在经营活动中没有重大违法记录</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 xml:space="preserve">5.2.6 </w:t>
      </w:r>
      <w:r>
        <w:rPr>
          <w:szCs w:val="21"/>
          <w:highlight w:val="none"/>
        </w:rPr>
        <w:t>法律、行政法规规定的其他条件</w:t>
      </w:r>
      <w:r>
        <w:rPr>
          <w:rFonts w:hint="eastAsia"/>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5.2.7 只有在法律上和财务上独立、合法运作并独立于采购人和政府采购代理机构的供货商才能参加投标。</w:t>
      </w:r>
    </w:p>
    <w:p>
      <w:pPr>
        <w:widowControl w:val="0"/>
        <w:shd w:val="clear" w:color="auto" w:fill="auto"/>
        <w:tabs>
          <w:tab w:val="clear" w:pos="426"/>
        </w:tabs>
        <w:autoSpaceDE w:val="0"/>
        <w:autoSpaceDN w:val="0"/>
        <w:rPr>
          <w:b/>
          <w:szCs w:val="21"/>
          <w:highlight w:val="none"/>
        </w:rPr>
      </w:pPr>
      <w:r>
        <w:rPr>
          <w:rFonts w:hint="eastAsia"/>
          <w:szCs w:val="21"/>
          <w:highlight w:val="none"/>
        </w:rPr>
        <w:t>5.2.8 法定代表人或单位负责人为同一人或者存在直接控股、管理关系的不同单位不得同时参与同一个项目（包组）的竞争。</w:t>
      </w:r>
    </w:p>
    <w:p>
      <w:pPr>
        <w:widowControl w:val="0"/>
        <w:shd w:val="clear" w:color="auto" w:fill="auto"/>
        <w:tabs>
          <w:tab w:val="clear" w:pos="426"/>
        </w:tabs>
        <w:autoSpaceDE w:val="0"/>
        <w:autoSpaceDN w:val="0"/>
        <w:rPr>
          <w:szCs w:val="21"/>
          <w:highlight w:val="none"/>
        </w:rPr>
      </w:pPr>
      <w:r>
        <w:rPr>
          <w:rFonts w:hint="eastAsia"/>
          <w:szCs w:val="21"/>
          <w:highlight w:val="none"/>
        </w:rPr>
        <w:t>5.2.9 符合</w:t>
      </w:r>
      <w:r>
        <w:rPr>
          <w:rFonts w:hint="eastAsia" w:cs="黑体"/>
          <w:szCs w:val="21"/>
          <w:highlight w:val="none"/>
        </w:rPr>
        <w:t>第一章采购公告“投标人资格要求”</w:t>
      </w:r>
      <w:r>
        <w:rPr>
          <w:rFonts w:hint="eastAsia"/>
          <w:szCs w:val="21"/>
          <w:highlight w:val="none"/>
        </w:rPr>
        <w:t>的条款</w:t>
      </w:r>
      <w:r>
        <w:rPr>
          <w:rFonts w:hint="eastAsia" w:cs="黑体"/>
          <w:szCs w:val="21"/>
          <w:highlight w:val="none"/>
        </w:rPr>
        <w:t>。</w:t>
      </w:r>
    </w:p>
    <w:p>
      <w:pPr>
        <w:widowControl w:val="0"/>
        <w:shd w:val="clear" w:color="auto" w:fill="auto"/>
        <w:tabs>
          <w:tab w:val="clear" w:pos="426"/>
        </w:tabs>
        <w:autoSpaceDE w:val="0"/>
        <w:autoSpaceDN w:val="0"/>
        <w:rPr>
          <w:szCs w:val="21"/>
          <w:highlight w:val="none"/>
        </w:rPr>
      </w:pPr>
      <w:r>
        <w:rPr>
          <w:rFonts w:hint="eastAsia"/>
          <w:szCs w:val="21"/>
          <w:highlight w:val="none"/>
        </w:rPr>
        <w:t>5.3 中标人是指经法定程序确定并授予合同的投标人。</w:t>
      </w:r>
    </w:p>
    <w:p>
      <w:pPr>
        <w:tabs>
          <w:tab w:val="clear" w:pos="426"/>
        </w:tabs>
        <w:rPr>
          <w:highlight w:val="none"/>
        </w:rPr>
      </w:pPr>
      <w:r>
        <w:rPr>
          <w:rFonts w:hint="eastAsia"/>
          <w:highlight w:val="none"/>
        </w:rPr>
        <w:t>6．联合体投标</w:t>
      </w:r>
    </w:p>
    <w:p>
      <w:pPr>
        <w:tabs>
          <w:tab w:val="clear" w:pos="426"/>
        </w:tabs>
        <w:rPr>
          <w:highlight w:val="none"/>
        </w:rPr>
      </w:pPr>
      <w:r>
        <w:rPr>
          <w:rFonts w:hint="eastAsia"/>
          <w:highlight w:val="none"/>
        </w:rPr>
        <w:t>6.1　以下有关联合体投标的条款仅适用于允许投标人组成联合体投标的项目。</w:t>
      </w:r>
    </w:p>
    <w:p>
      <w:pPr>
        <w:tabs>
          <w:tab w:val="clear" w:pos="426"/>
        </w:tabs>
        <w:rPr>
          <w:highlight w:val="none"/>
        </w:rPr>
      </w:pPr>
      <w:r>
        <w:rPr>
          <w:rFonts w:hint="eastAsia"/>
          <w:highlight w:val="none"/>
        </w:rPr>
        <w:t>6.2　由两个或两个以上的自然人、法人或者其他组织可以组成一个联合体，以一个供应商的身份共同投标时，应符合以下原则：</w:t>
      </w:r>
    </w:p>
    <w:p>
      <w:pPr>
        <w:tabs>
          <w:tab w:val="clear" w:pos="426"/>
        </w:tabs>
        <w:rPr>
          <w:color w:val="000000"/>
          <w:highlight w:val="none"/>
        </w:rPr>
      </w:pPr>
      <w:r>
        <w:rPr>
          <w:rFonts w:hint="eastAsia"/>
          <w:color w:val="000000"/>
          <w:highlight w:val="none"/>
        </w:rPr>
        <w:t>6.2.</w:t>
      </w:r>
      <w:r>
        <w:rPr>
          <w:rFonts w:hint="eastAsia"/>
          <w:bCs/>
          <w:color w:val="000000"/>
          <w:highlight w:val="none"/>
        </w:rPr>
        <w:t>1投标联合体应满足采购公告有关投标人资格要求中对联合体的要求；</w:t>
      </w:r>
    </w:p>
    <w:p>
      <w:pPr>
        <w:tabs>
          <w:tab w:val="clear" w:pos="426"/>
        </w:tabs>
        <w:rPr>
          <w:color w:val="000000"/>
          <w:highlight w:val="none"/>
        </w:rPr>
      </w:pPr>
      <w:r>
        <w:rPr>
          <w:rFonts w:hint="eastAsia"/>
          <w:color w:val="000000"/>
          <w:highlight w:val="none"/>
        </w:rPr>
        <w:t>6.2.2对于采购公告中所要求投标人应具有的某一资质，若联合体各方均具有，则将以联合体各方中最低的资质等级作为联合体在这一资质条件上的资质等级；联合体各方的不同资质可优势互补。</w:t>
      </w:r>
    </w:p>
    <w:p>
      <w:pPr>
        <w:tabs>
          <w:tab w:val="clear" w:pos="426"/>
        </w:tabs>
        <w:rPr>
          <w:color w:val="000000"/>
          <w:highlight w:val="none"/>
        </w:rPr>
      </w:pPr>
      <w:r>
        <w:rPr>
          <w:rFonts w:hint="eastAsia"/>
          <w:color w:val="000000"/>
          <w:highlight w:val="none"/>
        </w:rPr>
        <w:t>6.2.3投标人的投标文件及中标后签署的合同协议对联合体各方均具法律约束力；</w:t>
      </w:r>
    </w:p>
    <w:p>
      <w:pPr>
        <w:tabs>
          <w:tab w:val="clear" w:pos="426"/>
        </w:tabs>
        <w:rPr>
          <w:color w:val="000000"/>
          <w:highlight w:val="none"/>
        </w:rPr>
      </w:pPr>
      <w:r>
        <w:rPr>
          <w:rFonts w:hint="eastAsia"/>
          <w:color w:val="000000"/>
          <w:highlight w:val="none"/>
        </w:rPr>
        <w:t>6.2.4联合体各方应当签订共同投标协议，明确约定各方拟承担的工作和责任，并将该共同投标协议随投标文件一并递交给政府采购代理机构；</w:t>
      </w:r>
    </w:p>
    <w:p>
      <w:pPr>
        <w:tabs>
          <w:tab w:val="clear" w:pos="426"/>
        </w:tabs>
        <w:rPr>
          <w:color w:val="000000"/>
          <w:highlight w:val="none"/>
        </w:rPr>
      </w:pPr>
      <w:r>
        <w:rPr>
          <w:rFonts w:hint="eastAsia"/>
          <w:color w:val="000000"/>
          <w:highlight w:val="none"/>
        </w:rPr>
        <w:t>6.2.5联合体的各方应当共同推荐一联合体投标授权代表人，由联合体各方提交一份授权书，证明其有资格代表联合体各方签署投标文件，该授权书作为投标文件的组成部分一并提交给政府采购代理机构；</w:t>
      </w:r>
    </w:p>
    <w:p>
      <w:pPr>
        <w:tabs>
          <w:tab w:val="clear" w:pos="426"/>
        </w:tabs>
        <w:rPr>
          <w:color w:val="000000"/>
          <w:highlight w:val="none"/>
        </w:rPr>
      </w:pPr>
      <w:r>
        <w:rPr>
          <w:rFonts w:hint="eastAsia"/>
          <w:color w:val="000000"/>
          <w:highlight w:val="none"/>
        </w:rPr>
        <w:t>6.2.6参加联合体的各方不得再以自己的名义单独投标，不得同时参加两个或两个以上的联合体投标、不得以分包商或其它形式参与投标，出现上述情况者，其投标和与此有关联合体、总包单位的投标将被拒绝；</w:t>
      </w:r>
    </w:p>
    <w:p>
      <w:pPr>
        <w:tabs>
          <w:tab w:val="clear" w:pos="426"/>
        </w:tabs>
        <w:rPr>
          <w:color w:val="000000"/>
          <w:highlight w:val="none"/>
        </w:rPr>
      </w:pPr>
      <w:r>
        <w:rPr>
          <w:rFonts w:hint="eastAsia"/>
          <w:color w:val="000000"/>
          <w:highlight w:val="none"/>
        </w:rPr>
        <w:t>6.2.7除非另有规定或说明，本须知中“投标人”一词亦指联合体各方。</w:t>
      </w:r>
    </w:p>
    <w:p>
      <w:pPr>
        <w:tabs>
          <w:tab w:val="clear" w:pos="426"/>
        </w:tabs>
        <w:rPr>
          <w:highlight w:val="none"/>
        </w:rPr>
      </w:pPr>
      <w:r>
        <w:rPr>
          <w:rFonts w:hint="eastAsia"/>
          <w:highlight w:val="none"/>
        </w:rPr>
        <w:t>7. 合格的服务和货物</w:t>
      </w:r>
    </w:p>
    <w:p>
      <w:pPr>
        <w:widowControl w:val="0"/>
        <w:shd w:val="clear" w:color="auto" w:fill="auto"/>
        <w:tabs>
          <w:tab w:val="clear" w:pos="426"/>
        </w:tabs>
        <w:autoSpaceDE w:val="0"/>
        <w:autoSpaceDN w:val="0"/>
        <w:rPr>
          <w:szCs w:val="21"/>
          <w:highlight w:val="none"/>
        </w:rPr>
      </w:pPr>
      <w:r>
        <w:rPr>
          <w:rFonts w:hint="eastAsia"/>
          <w:szCs w:val="21"/>
          <w:highlight w:val="none"/>
        </w:rPr>
        <w:t>7.1 “服务” 是指投标人按招标文件规定完成的全部服务内容，其中包括完成服务所需的货物，及须承担的技术支持、培训和其它伴随服务。</w:t>
      </w:r>
    </w:p>
    <w:p>
      <w:pPr>
        <w:widowControl w:val="0"/>
        <w:shd w:val="clear" w:color="auto" w:fill="auto"/>
        <w:tabs>
          <w:tab w:val="clear" w:pos="426"/>
        </w:tabs>
        <w:autoSpaceDE w:val="0"/>
        <w:autoSpaceDN w:val="0"/>
        <w:rPr>
          <w:rFonts w:cs="黑体"/>
          <w:b/>
          <w:bCs/>
          <w:szCs w:val="21"/>
          <w:highlight w:val="none"/>
        </w:rPr>
      </w:pPr>
      <w:r>
        <w:rPr>
          <w:rFonts w:hint="eastAsia"/>
          <w:szCs w:val="21"/>
          <w:highlight w:val="none"/>
        </w:rPr>
        <w:t>7.2 “货物”是指投标人制造或组织符合招标文件要求的货物等。投标的货物必须是其合法生产、合法来源的符合国家有关标准要求的货物，并满足招标文件规定的规格、参数、质量、价格、有效期、售后服务等要求。</w:t>
      </w:r>
    </w:p>
    <w:p>
      <w:pPr>
        <w:widowControl w:val="0"/>
        <w:shd w:val="clear" w:color="auto" w:fill="auto"/>
        <w:tabs>
          <w:tab w:val="clear" w:pos="426"/>
        </w:tabs>
        <w:autoSpaceDE w:val="0"/>
        <w:autoSpaceDN w:val="0"/>
        <w:rPr>
          <w:szCs w:val="21"/>
          <w:highlight w:val="none"/>
        </w:rPr>
      </w:pPr>
      <w:r>
        <w:rPr>
          <w:rFonts w:hint="eastAsia"/>
          <w:szCs w:val="21"/>
          <w:highlight w:val="none"/>
        </w:rPr>
        <w:t>7.3 投标人提供的所有服务，其质量、技术等特征必须符合国家、行业现行法律、法规的相关标准和《中华人民共和国政府采购法》的有关规定及用户需求。</w:t>
      </w:r>
    </w:p>
    <w:p>
      <w:pPr>
        <w:widowControl w:val="0"/>
        <w:shd w:val="clear" w:color="auto" w:fill="auto"/>
        <w:tabs>
          <w:tab w:val="clear" w:pos="426"/>
        </w:tabs>
        <w:autoSpaceDE w:val="0"/>
        <w:autoSpaceDN w:val="0"/>
        <w:rPr>
          <w:szCs w:val="21"/>
          <w:highlight w:val="none"/>
        </w:rPr>
      </w:pPr>
      <w:r>
        <w:rPr>
          <w:rFonts w:hint="eastAsia"/>
          <w:szCs w:val="21"/>
          <w:highlight w:val="none"/>
        </w:rPr>
        <w:t>7.4 采购人有权拒绝接受任何不合格的服务，由此产生的费用及相关后果均由供应商自行承担。</w:t>
      </w:r>
    </w:p>
    <w:p>
      <w:pPr>
        <w:widowControl w:val="0"/>
        <w:shd w:val="clear" w:color="auto" w:fill="auto"/>
        <w:tabs>
          <w:tab w:val="clear" w:pos="426"/>
        </w:tabs>
        <w:autoSpaceDE w:val="0"/>
        <w:autoSpaceDN w:val="0"/>
        <w:rPr>
          <w:szCs w:val="21"/>
          <w:highlight w:val="none"/>
        </w:rPr>
      </w:pPr>
      <w:r>
        <w:rPr>
          <w:rFonts w:hint="eastAsia"/>
          <w:szCs w:val="21"/>
          <w:highlight w:val="none"/>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pPr>
        <w:tabs>
          <w:tab w:val="clear" w:pos="426"/>
        </w:tabs>
        <w:rPr>
          <w:highlight w:val="none"/>
        </w:rPr>
      </w:pPr>
      <w:r>
        <w:rPr>
          <w:rFonts w:hint="eastAsia"/>
          <w:highlight w:val="none"/>
        </w:rPr>
        <w:t>8．投标费用</w:t>
      </w:r>
      <w:bookmarkEnd w:id="140"/>
      <w:bookmarkEnd w:id="141"/>
      <w:bookmarkEnd w:id="142"/>
      <w:bookmarkEnd w:id="143"/>
      <w:bookmarkEnd w:id="144"/>
      <w:bookmarkEnd w:id="145"/>
      <w:bookmarkEnd w:id="146"/>
    </w:p>
    <w:p>
      <w:pPr>
        <w:tabs>
          <w:tab w:val="clear" w:pos="426"/>
        </w:tabs>
        <w:rPr>
          <w:highlight w:val="none"/>
        </w:rPr>
      </w:pPr>
      <w:r>
        <w:rPr>
          <w:rFonts w:hint="eastAsia"/>
          <w:highlight w:val="none"/>
        </w:rPr>
        <w:t>不论投标结果如何，投标人应承担其编制投标文件与递交投标文件所涉及的一切费用。</w:t>
      </w:r>
      <w:r>
        <w:rPr>
          <w:rFonts w:hint="eastAsia"/>
          <w:szCs w:val="21"/>
          <w:highlight w:val="none"/>
          <w:lang w:eastAsia="zh-TW"/>
        </w:rPr>
        <w:t>不论投标的结果如何</w:t>
      </w:r>
      <w:r>
        <w:rPr>
          <w:rFonts w:hint="eastAsia"/>
          <w:szCs w:val="21"/>
          <w:highlight w:val="none"/>
        </w:rPr>
        <w:t>，</w:t>
      </w:r>
      <w:r>
        <w:rPr>
          <w:rFonts w:hint="eastAsia"/>
          <w:szCs w:val="21"/>
          <w:highlight w:val="none"/>
          <w:lang w:eastAsia="zh-TW"/>
        </w:rPr>
        <w:t>招标采购单位均无义务和责任承担这些费用</w:t>
      </w:r>
      <w:r>
        <w:rPr>
          <w:rFonts w:hint="eastAsia"/>
          <w:szCs w:val="21"/>
          <w:highlight w:val="none"/>
        </w:rPr>
        <w:t>。</w:t>
      </w:r>
    </w:p>
    <w:p>
      <w:pPr>
        <w:tabs>
          <w:tab w:val="clear" w:pos="426"/>
        </w:tabs>
        <w:rPr>
          <w:highlight w:val="none"/>
        </w:rPr>
      </w:pPr>
      <w:bookmarkStart w:id="147" w:name="_Toc73518124"/>
      <w:bookmarkStart w:id="148" w:name="_Toc60631627"/>
      <w:bookmarkStart w:id="149" w:name="_Toc73517646"/>
      <w:bookmarkStart w:id="150" w:name="_Toc60560632"/>
      <w:bookmarkStart w:id="151" w:name="_Toc100052371"/>
      <w:bookmarkStart w:id="152" w:name="_Toc73521642"/>
      <w:bookmarkStart w:id="153" w:name="_Toc73521554"/>
      <w:r>
        <w:rPr>
          <w:rFonts w:hint="eastAsia"/>
          <w:highlight w:val="none"/>
        </w:rPr>
        <w:t>9．踏勘现场</w:t>
      </w:r>
      <w:bookmarkEnd w:id="147"/>
      <w:bookmarkEnd w:id="148"/>
      <w:bookmarkEnd w:id="149"/>
      <w:bookmarkEnd w:id="150"/>
      <w:bookmarkEnd w:id="151"/>
      <w:bookmarkEnd w:id="152"/>
      <w:bookmarkEnd w:id="153"/>
    </w:p>
    <w:p>
      <w:pPr>
        <w:tabs>
          <w:tab w:val="clear" w:pos="426"/>
        </w:tabs>
        <w:rPr>
          <w:highlight w:val="none"/>
        </w:rPr>
      </w:pPr>
      <w:bookmarkStart w:id="154" w:name="_Toc78260681"/>
      <w:bookmarkStart w:id="155" w:name="_Toc100052372"/>
      <w:r>
        <w:rPr>
          <w:rFonts w:hint="eastAsia"/>
          <w:highlight w:val="none"/>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pPr>
        <w:tabs>
          <w:tab w:val="clear" w:pos="426"/>
        </w:tabs>
        <w:rPr>
          <w:highlight w:val="none"/>
        </w:rPr>
      </w:pPr>
      <w:r>
        <w:rPr>
          <w:rFonts w:hint="eastAsia"/>
          <w:highlight w:val="none"/>
        </w:rPr>
        <w:t>9.2投标人及其人员经过采购单位的允许，可以踏勘目的进入采购单位的项目现场。若本项目招标文件要求投标人于统一时间地点踏勘现场的，投标人按时前往。</w:t>
      </w:r>
    </w:p>
    <w:p>
      <w:pPr>
        <w:tabs>
          <w:tab w:val="clear" w:pos="426"/>
        </w:tabs>
        <w:rPr>
          <w:highlight w:val="none"/>
        </w:rPr>
      </w:pPr>
      <w:r>
        <w:rPr>
          <w:rFonts w:hint="eastAsia"/>
          <w:highlight w:val="none"/>
        </w:rPr>
        <w:t>9.3采购单位必须通过采购代理机构向投标人提供有关现场的资料和数据。</w:t>
      </w:r>
    </w:p>
    <w:p>
      <w:pPr>
        <w:tabs>
          <w:tab w:val="clear" w:pos="426"/>
        </w:tabs>
        <w:rPr>
          <w:highlight w:val="none"/>
        </w:rPr>
      </w:pPr>
      <w:r>
        <w:rPr>
          <w:rFonts w:hint="eastAsia"/>
          <w:highlight w:val="none"/>
        </w:rPr>
        <w:t>9.4任何人或任何组织在踏勘现场时向投标人提交的任何书面或口头上的资料，未经采购代理机构在网上发布或书面通知，均作无效处理。采购代理机构对投标人由此而做出的推论、理解和结论概不负责。</w:t>
      </w:r>
    </w:p>
    <w:p>
      <w:pPr>
        <w:tabs>
          <w:tab w:val="clear" w:pos="426"/>
        </w:tabs>
        <w:rPr>
          <w:highlight w:val="none"/>
        </w:rPr>
      </w:pPr>
      <w:r>
        <w:rPr>
          <w:rFonts w:hint="eastAsia"/>
          <w:highlight w:val="none"/>
        </w:rPr>
        <w:t>9.5 未参与现场踏勘不作为否定投标人资格的理由。</w:t>
      </w:r>
    </w:p>
    <w:p>
      <w:pPr>
        <w:tabs>
          <w:tab w:val="clear" w:pos="426"/>
        </w:tabs>
        <w:rPr>
          <w:highlight w:val="none"/>
        </w:rPr>
      </w:pPr>
      <w:r>
        <w:rPr>
          <w:rFonts w:hint="eastAsia"/>
          <w:highlight w:val="none"/>
        </w:rPr>
        <w:t>10．招标</w:t>
      </w:r>
      <w:bookmarkEnd w:id="154"/>
      <w:r>
        <w:rPr>
          <w:rFonts w:hint="eastAsia"/>
          <w:highlight w:val="none"/>
        </w:rPr>
        <w:t>答疑</w:t>
      </w:r>
      <w:bookmarkEnd w:id="155"/>
    </w:p>
    <w:p>
      <w:pPr>
        <w:tabs>
          <w:tab w:val="clear" w:pos="426"/>
        </w:tabs>
        <w:rPr>
          <w:highlight w:val="none"/>
        </w:rPr>
      </w:pPr>
      <w:r>
        <w:rPr>
          <w:rFonts w:hint="eastAsia"/>
          <w:highlight w:val="none"/>
        </w:rPr>
        <w:t>10.1招标答疑的目的是澄清、解答投标人在查阅招标文件后或现场踏勘中可能提出的与投标有关的疑问或询问。</w:t>
      </w:r>
    </w:p>
    <w:p>
      <w:pPr>
        <w:tabs>
          <w:tab w:val="clear" w:pos="426"/>
        </w:tabs>
        <w:rPr>
          <w:highlight w:val="none"/>
        </w:rPr>
      </w:pPr>
      <w:r>
        <w:rPr>
          <w:rFonts w:hint="eastAsia"/>
          <w:highlight w:val="none"/>
        </w:rPr>
        <w:t>10.2投标人提出的与投标有关的问题须在招标文件规定的答疑截止时间前以 “质疑函</w:t>
      </w:r>
      <w:r>
        <w:rPr>
          <w:highlight w:val="none"/>
        </w:rPr>
        <w:t>”</w:t>
      </w:r>
      <w:r>
        <w:rPr>
          <w:rFonts w:hint="eastAsia"/>
          <w:highlight w:val="none"/>
        </w:rPr>
        <w:t>的形式提交给采购代理机构，质疑函应该加盖质疑单位公章。</w:t>
      </w:r>
    </w:p>
    <w:p>
      <w:pPr>
        <w:tabs>
          <w:tab w:val="clear" w:pos="426"/>
        </w:tabs>
        <w:rPr>
          <w:highlight w:val="none"/>
        </w:rPr>
      </w:pPr>
      <w:r>
        <w:rPr>
          <w:rFonts w:hint="eastAsia"/>
          <w:highlight w:val="none"/>
        </w:rPr>
        <w:t>10.3采购代理机构对疑问所做出的澄清和解答，以书面答复（包括网站发布信息）为准。答疑纪要的有效性规定按照本通用条款第13</w:t>
      </w:r>
      <w:r>
        <w:rPr>
          <w:highlight w:val="none"/>
        </w:rPr>
        <w:t>.3</w:t>
      </w:r>
      <w:r>
        <w:rPr>
          <w:rFonts w:hint="eastAsia"/>
          <w:highlight w:val="none"/>
        </w:rPr>
        <w:t>、13</w:t>
      </w:r>
      <w:r>
        <w:rPr>
          <w:highlight w:val="none"/>
        </w:rPr>
        <w:t>.4</w:t>
      </w:r>
      <w:r>
        <w:rPr>
          <w:rFonts w:hint="eastAsia"/>
          <w:highlight w:val="none"/>
        </w:rPr>
        <w:t>款规定执行。</w:t>
      </w:r>
    </w:p>
    <w:p>
      <w:pPr>
        <w:tabs>
          <w:tab w:val="clear" w:pos="426"/>
        </w:tabs>
        <w:rPr>
          <w:highlight w:val="none"/>
        </w:rPr>
      </w:pPr>
      <w:r>
        <w:rPr>
          <w:rFonts w:hint="eastAsia"/>
          <w:highlight w:val="none"/>
        </w:rPr>
        <w:t>10.4如采购代理机构认为有必要组织现场答疑会，投标人应按照招标文件规定的时间或采购代理机构另行书面通知（包括网站发布的通知）的时间和地点，参与现场答疑会。</w:t>
      </w:r>
    </w:p>
    <w:p>
      <w:pPr>
        <w:tabs>
          <w:tab w:val="clear" w:pos="426"/>
        </w:tabs>
        <w:rPr>
          <w:highlight w:val="none"/>
        </w:rPr>
      </w:pPr>
      <w:r>
        <w:rPr>
          <w:rFonts w:hint="eastAsia"/>
          <w:highlight w:val="none"/>
        </w:rPr>
        <w:t>10.5未参与招标答疑不作为否定投标人资格的理由。</w:t>
      </w:r>
    </w:p>
    <w:p>
      <w:pPr>
        <w:pStyle w:val="5"/>
        <w:tabs>
          <w:tab w:val="clear" w:pos="426"/>
        </w:tabs>
        <w:rPr>
          <w:highlight w:val="none"/>
        </w:rPr>
      </w:pPr>
      <w:bookmarkStart w:id="156" w:name="bt招标文件"/>
      <w:bookmarkEnd w:id="156"/>
      <w:bookmarkStart w:id="157" w:name="_Toc73518126"/>
      <w:bookmarkStart w:id="158" w:name="_Toc101074878"/>
      <w:bookmarkStart w:id="159" w:name="_Toc17734"/>
      <w:bookmarkStart w:id="160" w:name="_Toc73521556"/>
      <w:bookmarkStart w:id="161" w:name="_Toc398220530"/>
      <w:bookmarkStart w:id="162" w:name="_Toc100052373"/>
      <w:bookmarkStart w:id="163" w:name="_Toc5875395"/>
      <w:bookmarkStart w:id="164" w:name="_Toc73521644"/>
      <w:bookmarkStart w:id="165" w:name="_Toc432592822"/>
      <w:bookmarkStart w:id="166" w:name="_Toc73517648"/>
      <w:r>
        <w:rPr>
          <w:rFonts w:hint="eastAsia"/>
          <w:highlight w:val="none"/>
        </w:rPr>
        <w:t>第二章 招标文件</w:t>
      </w:r>
      <w:bookmarkEnd w:id="157"/>
      <w:bookmarkEnd w:id="158"/>
      <w:bookmarkEnd w:id="159"/>
      <w:bookmarkEnd w:id="160"/>
      <w:bookmarkEnd w:id="161"/>
      <w:bookmarkEnd w:id="162"/>
      <w:bookmarkEnd w:id="163"/>
      <w:bookmarkEnd w:id="164"/>
      <w:bookmarkEnd w:id="165"/>
      <w:bookmarkEnd w:id="166"/>
    </w:p>
    <w:p>
      <w:pPr>
        <w:tabs>
          <w:tab w:val="clear" w:pos="426"/>
        </w:tabs>
        <w:rPr>
          <w:highlight w:val="none"/>
        </w:rPr>
      </w:pPr>
      <w:bookmarkStart w:id="167" w:name="_Toc73521557"/>
      <w:bookmarkStart w:id="168" w:name="_Toc100052374"/>
      <w:bookmarkStart w:id="169" w:name="_Toc73517649"/>
      <w:bookmarkStart w:id="170" w:name="_Toc73521645"/>
      <w:bookmarkStart w:id="171" w:name="_Toc73518127"/>
      <w:r>
        <w:rPr>
          <w:rFonts w:hint="eastAsia"/>
          <w:highlight w:val="none"/>
        </w:rPr>
        <w:t>11．招标文件的编制与组成</w:t>
      </w:r>
      <w:bookmarkEnd w:id="167"/>
      <w:bookmarkEnd w:id="168"/>
      <w:bookmarkEnd w:id="169"/>
      <w:bookmarkEnd w:id="170"/>
      <w:bookmarkEnd w:id="171"/>
    </w:p>
    <w:p>
      <w:pPr>
        <w:tabs>
          <w:tab w:val="clear" w:pos="426"/>
        </w:tabs>
        <w:rPr>
          <w:highlight w:val="none"/>
        </w:rPr>
      </w:pPr>
      <w:r>
        <w:rPr>
          <w:rFonts w:hint="eastAsia"/>
          <w:highlight w:val="none"/>
        </w:rPr>
        <w:t>11.1招标文件除以下内容外，采购代理机构在招标（或谈判）期间发出的答疑纪要和其他补充修改函件，均是招标文件的组成部分，对投标人起约束作用；</w:t>
      </w:r>
    </w:p>
    <w:p>
      <w:pPr>
        <w:tabs>
          <w:tab w:val="clear" w:pos="426"/>
        </w:tabs>
        <w:rPr>
          <w:highlight w:val="none"/>
        </w:rPr>
      </w:pPr>
      <w:r>
        <w:rPr>
          <w:rFonts w:hint="eastAsia"/>
          <w:highlight w:val="none"/>
        </w:rPr>
        <w:t>招标文件包括下列内容：</w:t>
      </w:r>
    </w:p>
    <w:p>
      <w:pPr>
        <w:tabs>
          <w:tab w:val="clear" w:pos="426"/>
        </w:tabs>
        <w:rPr>
          <w:highlight w:val="none"/>
        </w:rPr>
      </w:pPr>
      <w:r>
        <w:rPr>
          <w:rFonts w:hint="eastAsia"/>
          <w:highlight w:val="none"/>
        </w:rPr>
        <w:t>项目关键信息</w:t>
      </w:r>
    </w:p>
    <w:p>
      <w:pPr>
        <w:tabs>
          <w:tab w:val="clear" w:pos="426"/>
        </w:tabs>
        <w:rPr>
          <w:highlight w:val="none"/>
        </w:rPr>
      </w:pPr>
      <w:r>
        <w:rPr>
          <w:rFonts w:hint="eastAsia"/>
          <w:highlight w:val="none"/>
        </w:rPr>
        <w:t>评标信息</w:t>
      </w:r>
    </w:p>
    <w:p>
      <w:pPr>
        <w:tabs>
          <w:tab w:val="clear" w:pos="426"/>
        </w:tabs>
        <w:rPr>
          <w:highlight w:val="none"/>
        </w:rPr>
      </w:pPr>
      <w:r>
        <w:rPr>
          <w:rFonts w:hint="eastAsia"/>
          <w:highlight w:val="none"/>
        </w:rPr>
        <w:t>第一册  专用条款</w:t>
      </w:r>
    </w:p>
    <w:p>
      <w:pPr>
        <w:tabs>
          <w:tab w:val="clear" w:pos="426"/>
        </w:tabs>
        <w:rPr>
          <w:highlight w:val="none"/>
        </w:rPr>
      </w:pPr>
      <w:r>
        <w:rPr>
          <w:rFonts w:hint="eastAsia"/>
          <w:highlight w:val="none"/>
        </w:rPr>
        <w:t>第一章  采购公告</w:t>
      </w:r>
    </w:p>
    <w:p>
      <w:pPr>
        <w:tabs>
          <w:tab w:val="clear" w:pos="426"/>
        </w:tabs>
        <w:rPr>
          <w:highlight w:val="none"/>
        </w:rPr>
      </w:pPr>
      <w:r>
        <w:rPr>
          <w:rFonts w:hint="eastAsia"/>
          <w:highlight w:val="none"/>
        </w:rPr>
        <w:t>第二章  招标项目需求</w:t>
      </w:r>
    </w:p>
    <w:p>
      <w:pPr>
        <w:tabs>
          <w:tab w:val="clear" w:pos="426"/>
        </w:tabs>
        <w:rPr>
          <w:highlight w:val="none"/>
        </w:rPr>
      </w:pPr>
      <w:r>
        <w:rPr>
          <w:rFonts w:hint="eastAsia"/>
          <w:highlight w:val="none"/>
        </w:rPr>
        <w:t>第三章  合同条款及格式</w:t>
      </w:r>
    </w:p>
    <w:p>
      <w:pPr>
        <w:tabs>
          <w:tab w:val="clear" w:pos="426"/>
        </w:tabs>
        <w:rPr>
          <w:highlight w:val="none"/>
        </w:rPr>
      </w:pPr>
      <w:r>
        <w:rPr>
          <w:rFonts w:hint="eastAsia"/>
          <w:highlight w:val="none"/>
        </w:rPr>
        <w:t>第四章  投标文件格式、附件</w:t>
      </w:r>
    </w:p>
    <w:p>
      <w:pPr>
        <w:tabs>
          <w:tab w:val="clear" w:pos="426"/>
        </w:tabs>
        <w:rPr>
          <w:highlight w:val="none"/>
        </w:rPr>
      </w:pPr>
      <w:r>
        <w:rPr>
          <w:rFonts w:hint="eastAsia"/>
          <w:highlight w:val="none"/>
        </w:rPr>
        <w:t>第五章  政府采购履约情况反馈表</w:t>
      </w:r>
    </w:p>
    <w:p>
      <w:pPr>
        <w:tabs>
          <w:tab w:val="clear" w:pos="426"/>
        </w:tabs>
        <w:rPr>
          <w:highlight w:val="none"/>
        </w:rPr>
      </w:pPr>
      <w:r>
        <w:rPr>
          <w:rFonts w:hint="eastAsia"/>
          <w:highlight w:val="none"/>
        </w:rPr>
        <w:t>第二册  通用条款</w:t>
      </w:r>
    </w:p>
    <w:p>
      <w:pPr>
        <w:tabs>
          <w:tab w:val="clear" w:pos="426"/>
        </w:tabs>
        <w:rPr>
          <w:highlight w:val="none"/>
        </w:rPr>
      </w:pPr>
      <w:r>
        <w:rPr>
          <w:rFonts w:hint="eastAsia"/>
          <w:highlight w:val="none"/>
        </w:rPr>
        <w:t>第一章  总则</w:t>
      </w:r>
    </w:p>
    <w:p>
      <w:pPr>
        <w:tabs>
          <w:tab w:val="clear" w:pos="426"/>
        </w:tabs>
        <w:rPr>
          <w:highlight w:val="none"/>
        </w:rPr>
      </w:pPr>
      <w:r>
        <w:rPr>
          <w:rFonts w:hint="eastAsia"/>
          <w:highlight w:val="none"/>
        </w:rPr>
        <w:t>第二章  招标文件</w:t>
      </w:r>
    </w:p>
    <w:p>
      <w:pPr>
        <w:tabs>
          <w:tab w:val="clear" w:pos="426"/>
        </w:tabs>
        <w:rPr>
          <w:highlight w:val="none"/>
        </w:rPr>
      </w:pPr>
      <w:r>
        <w:rPr>
          <w:rFonts w:hint="eastAsia"/>
          <w:highlight w:val="none"/>
        </w:rPr>
        <w:t>第三章  投标文件的编制与递交</w:t>
      </w:r>
    </w:p>
    <w:p>
      <w:pPr>
        <w:tabs>
          <w:tab w:val="clear" w:pos="426"/>
        </w:tabs>
        <w:rPr>
          <w:highlight w:val="none"/>
        </w:rPr>
      </w:pPr>
      <w:r>
        <w:rPr>
          <w:rFonts w:hint="eastAsia"/>
          <w:highlight w:val="none"/>
        </w:rPr>
        <w:t>第四章  开标</w:t>
      </w:r>
    </w:p>
    <w:p>
      <w:pPr>
        <w:tabs>
          <w:tab w:val="clear" w:pos="426"/>
        </w:tabs>
        <w:rPr>
          <w:highlight w:val="none"/>
        </w:rPr>
      </w:pPr>
      <w:r>
        <w:rPr>
          <w:rFonts w:hint="eastAsia"/>
          <w:highlight w:val="none"/>
        </w:rPr>
        <w:t>第五章  评标要求</w:t>
      </w:r>
    </w:p>
    <w:p>
      <w:pPr>
        <w:tabs>
          <w:tab w:val="clear" w:pos="426"/>
        </w:tabs>
        <w:rPr>
          <w:highlight w:val="none"/>
        </w:rPr>
      </w:pPr>
      <w:r>
        <w:rPr>
          <w:rFonts w:hint="eastAsia"/>
          <w:highlight w:val="none"/>
        </w:rPr>
        <w:t>第六章  评标程序及评标方法</w:t>
      </w:r>
    </w:p>
    <w:p>
      <w:pPr>
        <w:tabs>
          <w:tab w:val="clear" w:pos="426"/>
        </w:tabs>
        <w:rPr>
          <w:highlight w:val="none"/>
        </w:rPr>
      </w:pPr>
      <w:r>
        <w:rPr>
          <w:rFonts w:hint="eastAsia"/>
          <w:highlight w:val="none"/>
        </w:rPr>
        <w:t>第七章  定标及公示</w:t>
      </w:r>
    </w:p>
    <w:p>
      <w:pPr>
        <w:tabs>
          <w:tab w:val="clear" w:pos="426"/>
        </w:tabs>
        <w:rPr>
          <w:highlight w:val="none"/>
        </w:rPr>
      </w:pPr>
      <w:r>
        <w:rPr>
          <w:rFonts w:hint="eastAsia"/>
          <w:highlight w:val="none"/>
        </w:rPr>
        <w:t>第八章  公开招标失败的后续处理</w:t>
      </w:r>
    </w:p>
    <w:p>
      <w:pPr>
        <w:tabs>
          <w:tab w:val="clear" w:pos="426"/>
        </w:tabs>
        <w:rPr>
          <w:highlight w:val="none"/>
        </w:rPr>
      </w:pPr>
      <w:r>
        <w:rPr>
          <w:rFonts w:hint="eastAsia"/>
          <w:highlight w:val="none"/>
        </w:rPr>
        <w:t>第九章  合同的授予与备案</w:t>
      </w:r>
    </w:p>
    <w:p>
      <w:pPr>
        <w:tabs>
          <w:tab w:val="clear" w:pos="426"/>
        </w:tabs>
        <w:rPr>
          <w:highlight w:val="none"/>
        </w:rPr>
      </w:pPr>
      <w:r>
        <w:rPr>
          <w:rFonts w:hint="eastAsia"/>
          <w:highlight w:val="none"/>
        </w:rPr>
        <w:t>第十章  质疑处理</w:t>
      </w:r>
    </w:p>
    <w:p>
      <w:pPr>
        <w:tabs>
          <w:tab w:val="clear" w:pos="426"/>
        </w:tabs>
        <w:rPr>
          <w:highlight w:val="none"/>
        </w:rPr>
      </w:pPr>
      <w:bookmarkStart w:id="172" w:name="_Toc73521646"/>
      <w:bookmarkStart w:id="173" w:name="_Toc60631631"/>
      <w:bookmarkStart w:id="174" w:name="_Toc73518128"/>
      <w:bookmarkStart w:id="175" w:name="_Toc73517650"/>
      <w:bookmarkStart w:id="176" w:name="_Toc73521558"/>
      <w:bookmarkStart w:id="177" w:name="_Toc60560636"/>
      <w:bookmarkStart w:id="178" w:name="_Toc100052375"/>
      <w:bookmarkStart w:id="179" w:name="_Toc100052376"/>
      <w:bookmarkStart w:id="180" w:name="_Toc73521647"/>
      <w:bookmarkStart w:id="181" w:name="_Toc73517651"/>
      <w:bookmarkStart w:id="182" w:name="_Toc73518129"/>
      <w:bookmarkStart w:id="183" w:name="_Toc60560637"/>
      <w:bookmarkStart w:id="184" w:name="_Toc73521559"/>
      <w:bookmarkStart w:id="185" w:name="_Toc60631632"/>
      <w:r>
        <w:rPr>
          <w:rFonts w:hint="eastAsia"/>
          <w:highlight w:val="none"/>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pPr>
        <w:tabs>
          <w:tab w:val="clear" w:pos="426"/>
        </w:tabs>
        <w:rPr>
          <w:szCs w:val="21"/>
          <w:highlight w:val="none"/>
        </w:rPr>
      </w:pPr>
      <w:r>
        <w:rPr>
          <w:rFonts w:hint="eastAsia"/>
          <w:szCs w:val="21"/>
          <w:highlight w:val="none"/>
        </w:rPr>
        <w:t>11.3</w:t>
      </w:r>
      <w:r>
        <w:rPr>
          <w:rFonts w:hint="eastAsia"/>
          <w:highlight w:val="none"/>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pPr>
        <w:tabs>
          <w:tab w:val="clear" w:pos="426"/>
        </w:tabs>
        <w:rPr>
          <w:highlight w:val="none"/>
        </w:rPr>
      </w:pPr>
      <w:r>
        <w:rPr>
          <w:rFonts w:hint="eastAsia"/>
          <w:highlight w:val="none"/>
        </w:rPr>
        <w:t>12．招标文件的澄清</w:t>
      </w:r>
      <w:bookmarkEnd w:id="172"/>
      <w:bookmarkEnd w:id="173"/>
      <w:bookmarkEnd w:id="174"/>
      <w:bookmarkEnd w:id="175"/>
      <w:bookmarkEnd w:id="176"/>
      <w:bookmarkEnd w:id="177"/>
      <w:bookmarkEnd w:id="178"/>
    </w:p>
    <w:p>
      <w:pPr>
        <w:tabs>
          <w:tab w:val="clear" w:pos="426"/>
        </w:tabs>
        <w:rPr>
          <w:highlight w:val="none"/>
        </w:rPr>
      </w:pPr>
      <w:r>
        <w:rPr>
          <w:rFonts w:hint="eastAsia"/>
          <w:highlight w:val="none"/>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pPr>
        <w:tabs>
          <w:tab w:val="clear" w:pos="426"/>
        </w:tabs>
        <w:rPr>
          <w:highlight w:val="none"/>
        </w:rPr>
      </w:pPr>
      <w:r>
        <w:rPr>
          <w:rFonts w:hint="eastAsia"/>
          <w:highlight w:val="none"/>
        </w:rPr>
        <w:t>12.2对于没有提出澄清又参与了该项目投标的供应商将被视为完全认同该招标文件（含澄清纪要），投标截止期后不再受理针对招标文件的相关质疑或投诉。</w:t>
      </w:r>
    </w:p>
    <w:p>
      <w:pPr>
        <w:tabs>
          <w:tab w:val="clear" w:pos="426"/>
        </w:tabs>
        <w:rPr>
          <w:highlight w:val="none"/>
        </w:rPr>
      </w:pPr>
      <w:r>
        <w:rPr>
          <w:rFonts w:hint="eastAsia"/>
          <w:highlight w:val="none"/>
        </w:rPr>
        <w:t>12.3 对招标文件中描述有歧意或前后不一致的地方，评标委员会有权进行评判，但对同一条款的评判应适用于每个投标人。</w:t>
      </w:r>
    </w:p>
    <w:p>
      <w:pPr>
        <w:tabs>
          <w:tab w:val="clear" w:pos="426"/>
        </w:tabs>
        <w:rPr>
          <w:highlight w:val="none"/>
        </w:rPr>
      </w:pPr>
      <w:r>
        <w:rPr>
          <w:highlight w:val="none"/>
        </w:rPr>
        <w:t>1</w:t>
      </w:r>
      <w:r>
        <w:rPr>
          <w:rFonts w:hint="eastAsia"/>
          <w:highlight w:val="none"/>
        </w:rPr>
        <w:t>3．招标文件的修改</w:t>
      </w:r>
      <w:bookmarkEnd w:id="179"/>
      <w:bookmarkEnd w:id="180"/>
      <w:bookmarkEnd w:id="181"/>
      <w:bookmarkEnd w:id="182"/>
      <w:bookmarkEnd w:id="183"/>
      <w:bookmarkEnd w:id="184"/>
      <w:bookmarkEnd w:id="185"/>
    </w:p>
    <w:p>
      <w:pPr>
        <w:tabs>
          <w:tab w:val="clear" w:pos="426"/>
        </w:tabs>
        <w:rPr>
          <w:highlight w:val="none"/>
        </w:rPr>
      </w:pPr>
      <w:bookmarkStart w:id="186" w:name="bt投标文件"/>
      <w:bookmarkEnd w:id="186"/>
      <w:bookmarkStart w:id="187" w:name="_Toc100052377"/>
      <w:bookmarkStart w:id="188" w:name="_Toc73518130"/>
      <w:bookmarkStart w:id="189" w:name="_Toc73517652"/>
      <w:bookmarkStart w:id="190" w:name="_Toc73521648"/>
      <w:bookmarkStart w:id="191" w:name="_Toc101074879"/>
      <w:bookmarkStart w:id="192" w:name="_Toc73521560"/>
      <w:r>
        <w:rPr>
          <w:highlight w:val="none"/>
        </w:rPr>
        <w:t>1</w:t>
      </w:r>
      <w:r>
        <w:rPr>
          <w:rFonts w:hint="eastAsia"/>
          <w:highlight w:val="none"/>
        </w:rPr>
        <w:t>3.1招标文件发出后，在投标截止日期前任何时候，确需要变更招标内容的，采购代理机构可主动地或在解答投标人提出的澄清问题时对招标文件进行修改；</w:t>
      </w:r>
    </w:p>
    <w:p>
      <w:pPr>
        <w:tabs>
          <w:tab w:val="clear" w:pos="426"/>
        </w:tabs>
        <w:rPr>
          <w:highlight w:val="none"/>
        </w:rPr>
      </w:pPr>
      <w:r>
        <w:rPr>
          <w:highlight w:val="none"/>
        </w:rPr>
        <w:t>1</w:t>
      </w:r>
      <w:r>
        <w:rPr>
          <w:rFonts w:hint="eastAsia"/>
          <w:highlight w:val="none"/>
        </w:rPr>
        <w:t>3.2招标文件的修改以书面形式（包括网站公开发布方式）发送给所有投标人，招标文件的修改内容作为招标文件的组成部分，并具有约束力。</w:t>
      </w:r>
    </w:p>
    <w:p>
      <w:pPr>
        <w:tabs>
          <w:tab w:val="clear" w:pos="426"/>
        </w:tabs>
        <w:rPr>
          <w:highlight w:val="none"/>
        </w:rPr>
      </w:pPr>
      <w:r>
        <w:rPr>
          <w:highlight w:val="none"/>
        </w:rPr>
        <w:t>1</w:t>
      </w:r>
      <w:r>
        <w:rPr>
          <w:rFonts w:hint="eastAsia"/>
          <w:highlight w:val="none"/>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pPr>
        <w:tabs>
          <w:tab w:val="clear" w:pos="426"/>
        </w:tabs>
        <w:rPr>
          <w:highlight w:val="none"/>
        </w:rPr>
      </w:pPr>
      <w:r>
        <w:rPr>
          <w:highlight w:val="none"/>
        </w:rPr>
        <w:t>1</w:t>
      </w:r>
      <w:r>
        <w:rPr>
          <w:rFonts w:hint="eastAsia"/>
          <w:highlight w:val="none"/>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pPr>
        <w:pStyle w:val="5"/>
        <w:tabs>
          <w:tab w:val="clear" w:pos="426"/>
        </w:tabs>
        <w:rPr>
          <w:highlight w:val="none"/>
        </w:rPr>
      </w:pPr>
      <w:bookmarkStart w:id="193" w:name="_Toc30521"/>
      <w:bookmarkStart w:id="194" w:name="_Toc5875396"/>
      <w:bookmarkStart w:id="195" w:name="_Toc432592823"/>
      <w:bookmarkStart w:id="196" w:name="_Toc398220531"/>
      <w:r>
        <w:rPr>
          <w:rFonts w:hint="eastAsia"/>
          <w:highlight w:val="none"/>
        </w:rPr>
        <w:t>第三章 投标文件</w:t>
      </w:r>
      <w:bookmarkEnd w:id="187"/>
      <w:bookmarkEnd w:id="188"/>
      <w:bookmarkEnd w:id="189"/>
      <w:bookmarkEnd w:id="190"/>
      <w:bookmarkEnd w:id="191"/>
      <w:bookmarkEnd w:id="192"/>
      <w:r>
        <w:rPr>
          <w:rFonts w:hint="eastAsia"/>
          <w:highlight w:val="none"/>
        </w:rPr>
        <w:t>的编制与递交</w:t>
      </w:r>
      <w:bookmarkEnd w:id="193"/>
      <w:bookmarkEnd w:id="194"/>
      <w:bookmarkEnd w:id="195"/>
      <w:bookmarkEnd w:id="196"/>
    </w:p>
    <w:p>
      <w:pPr>
        <w:tabs>
          <w:tab w:val="clear" w:pos="426"/>
        </w:tabs>
        <w:rPr>
          <w:highlight w:val="none"/>
        </w:rPr>
      </w:pPr>
      <w:bookmarkStart w:id="197" w:name="_Toc73518131"/>
      <w:bookmarkStart w:id="198" w:name="_Toc73517653"/>
      <w:bookmarkStart w:id="199" w:name="_Toc73521649"/>
      <w:bookmarkStart w:id="200" w:name="_Toc60560639"/>
      <w:bookmarkStart w:id="201" w:name="_Toc60631634"/>
      <w:bookmarkStart w:id="202" w:name="_Toc73521561"/>
      <w:bookmarkStart w:id="203" w:name="_Toc100052378"/>
      <w:r>
        <w:rPr>
          <w:rFonts w:hint="eastAsia"/>
          <w:highlight w:val="none"/>
        </w:rPr>
        <w:t>14．投标文件的语言及度量单位</w:t>
      </w:r>
      <w:bookmarkEnd w:id="197"/>
      <w:bookmarkEnd w:id="198"/>
      <w:bookmarkEnd w:id="199"/>
      <w:bookmarkEnd w:id="200"/>
      <w:bookmarkEnd w:id="201"/>
      <w:bookmarkEnd w:id="202"/>
      <w:bookmarkEnd w:id="203"/>
    </w:p>
    <w:p>
      <w:pPr>
        <w:tabs>
          <w:tab w:val="clear" w:pos="426"/>
        </w:tabs>
        <w:rPr>
          <w:highlight w:val="none"/>
        </w:rPr>
      </w:pPr>
      <w:r>
        <w:rPr>
          <w:rFonts w:hint="eastAsia"/>
          <w:highlight w:val="none"/>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pPr>
        <w:tabs>
          <w:tab w:val="clear" w:pos="426"/>
        </w:tabs>
        <w:rPr>
          <w:highlight w:val="none"/>
        </w:rPr>
      </w:pPr>
      <w:r>
        <w:rPr>
          <w:rFonts w:hint="eastAsia"/>
          <w:highlight w:val="none"/>
        </w:rPr>
        <w:t>14.2 除技术规范另有规定外，投标文件使用的度量单位，均采用中华人民共和国法定计量单位。</w:t>
      </w:r>
    </w:p>
    <w:p>
      <w:pPr>
        <w:tabs>
          <w:tab w:val="clear" w:pos="426"/>
        </w:tabs>
        <w:rPr>
          <w:highlight w:val="none"/>
        </w:rPr>
      </w:pPr>
      <w:bookmarkStart w:id="204" w:name="_Toc60560640"/>
      <w:bookmarkStart w:id="205" w:name="_Toc60631635"/>
      <w:bookmarkStart w:id="206" w:name="_Toc100052379"/>
      <w:bookmarkStart w:id="207" w:name="_Toc73517654"/>
      <w:bookmarkStart w:id="208" w:name="_Toc73521562"/>
      <w:bookmarkStart w:id="209" w:name="_Toc73521650"/>
      <w:bookmarkStart w:id="210" w:name="_Toc73518132"/>
      <w:r>
        <w:rPr>
          <w:rFonts w:hint="eastAsia"/>
          <w:highlight w:val="none"/>
        </w:rPr>
        <w:t>15．投标文件的组成</w:t>
      </w:r>
      <w:bookmarkEnd w:id="204"/>
      <w:bookmarkEnd w:id="205"/>
      <w:bookmarkEnd w:id="206"/>
      <w:bookmarkEnd w:id="207"/>
      <w:bookmarkEnd w:id="208"/>
      <w:bookmarkEnd w:id="209"/>
      <w:bookmarkEnd w:id="210"/>
    </w:p>
    <w:p>
      <w:pPr>
        <w:tabs>
          <w:tab w:val="clear" w:pos="426"/>
        </w:tabs>
        <w:rPr>
          <w:highlight w:val="none"/>
        </w:rPr>
      </w:pPr>
      <w:r>
        <w:rPr>
          <w:rFonts w:hint="eastAsia"/>
          <w:highlight w:val="none"/>
        </w:rPr>
        <w:t>具体内容请详见本项目专用条款的相关内容。</w:t>
      </w:r>
      <w:bookmarkStart w:id="211" w:name="_Toc60631636"/>
      <w:bookmarkStart w:id="212" w:name="_Toc73518133"/>
      <w:bookmarkStart w:id="213" w:name="_Toc73517655"/>
      <w:bookmarkStart w:id="214" w:name="投标文件的组成"/>
      <w:bookmarkStart w:id="215" w:name="_Toc60560641"/>
      <w:bookmarkStart w:id="216" w:name="_Toc73521563"/>
      <w:bookmarkStart w:id="217" w:name="_Toc73521651"/>
    </w:p>
    <w:p>
      <w:pPr>
        <w:tabs>
          <w:tab w:val="clear" w:pos="426"/>
        </w:tabs>
        <w:rPr>
          <w:highlight w:val="none"/>
        </w:rPr>
      </w:pPr>
      <w:r>
        <w:rPr>
          <w:rFonts w:hint="eastAsia"/>
          <w:highlight w:val="none"/>
        </w:rPr>
        <w:t>16. 投标文件格式</w:t>
      </w:r>
    </w:p>
    <w:p>
      <w:pPr>
        <w:tabs>
          <w:tab w:val="clear" w:pos="426"/>
        </w:tabs>
        <w:rPr>
          <w:highlight w:val="none"/>
        </w:rPr>
      </w:pPr>
      <w:r>
        <w:rPr>
          <w:rFonts w:hint="eastAsia"/>
          <w:highlight w:val="none"/>
        </w:rPr>
        <w:t>16</w:t>
      </w:r>
      <w:r>
        <w:rPr>
          <w:highlight w:val="none"/>
        </w:rPr>
        <w:t>.1</w:t>
      </w:r>
      <w:r>
        <w:rPr>
          <w:rFonts w:hint="eastAsia"/>
          <w:highlight w:val="none"/>
        </w:rPr>
        <w:t>投标文件包括本通用条款第15条中规定的内容。如招标文件提供了投标文件格式，则投标人提交的投标文件必须毫无例外地使用招标文件所提供的相应格式并统一使用A4篇幅（表格可以按同样格式扩展）。</w:t>
      </w:r>
    </w:p>
    <w:bookmarkEnd w:id="211"/>
    <w:bookmarkEnd w:id="212"/>
    <w:bookmarkEnd w:id="213"/>
    <w:bookmarkEnd w:id="214"/>
    <w:bookmarkEnd w:id="215"/>
    <w:bookmarkEnd w:id="216"/>
    <w:bookmarkEnd w:id="217"/>
    <w:p>
      <w:pPr>
        <w:tabs>
          <w:tab w:val="clear" w:pos="426"/>
        </w:tabs>
        <w:rPr>
          <w:highlight w:val="none"/>
        </w:rPr>
      </w:pPr>
      <w:bookmarkStart w:id="218" w:name="_Toc73521565"/>
      <w:bookmarkStart w:id="219" w:name="_Toc60631638"/>
      <w:bookmarkStart w:id="220" w:name="_Toc73517657"/>
      <w:bookmarkStart w:id="221" w:name="_Toc73518135"/>
      <w:bookmarkStart w:id="222" w:name="_Toc100052382"/>
      <w:bookmarkStart w:id="223" w:name="_Toc60560643"/>
      <w:bookmarkStart w:id="224" w:name="_Toc73521653"/>
      <w:r>
        <w:rPr>
          <w:rFonts w:hint="eastAsia"/>
          <w:highlight w:val="none"/>
        </w:rPr>
        <w:t>17．投标货币</w:t>
      </w:r>
      <w:bookmarkEnd w:id="218"/>
      <w:bookmarkEnd w:id="219"/>
      <w:bookmarkEnd w:id="220"/>
      <w:bookmarkEnd w:id="221"/>
      <w:bookmarkEnd w:id="222"/>
      <w:bookmarkEnd w:id="223"/>
      <w:bookmarkEnd w:id="224"/>
    </w:p>
    <w:p>
      <w:pPr>
        <w:tabs>
          <w:tab w:val="clear" w:pos="426"/>
        </w:tabs>
        <w:rPr>
          <w:highlight w:val="none"/>
        </w:rPr>
      </w:pPr>
      <w:r>
        <w:rPr>
          <w:rFonts w:hint="eastAsia"/>
          <w:highlight w:val="none"/>
        </w:rPr>
        <w:t>本项目的投标应以人民币计。</w:t>
      </w:r>
    </w:p>
    <w:p>
      <w:pPr>
        <w:widowControl w:val="0"/>
        <w:shd w:val="clear" w:color="auto" w:fill="auto"/>
        <w:tabs>
          <w:tab w:val="clear" w:pos="426"/>
        </w:tabs>
        <w:autoSpaceDE w:val="0"/>
        <w:autoSpaceDN w:val="0"/>
        <w:rPr>
          <w:highlight w:val="none"/>
        </w:rPr>
      </w:pPr>
      <w:r>
        <w:rPr>
          <w:rFonts w:hint="eastAsia"/>
          <w:highlight w:val="none"/>
        </w:rPr>
        <w:t>18. 证明投标人合格和资格的文件</w:t>
      </w:r>
    </w:p>
    <w:p>
      <w:pPr>
        <w:widowControl w:val="0"/>
        <w:shd w:val="clear" w:color="auto" w:fill="auto"/>
        <w:tabs>
          <w:tab w:val="clear" w:pos="426"/>
        </w:tabs>
        <w:autoSpaceDE w:val="0"/>
        <w:autoSpaceDN w:val="0"/>
        <w:rPr>
          <w:rFonts w:cs="黑体"/>
          <w:b/>
          <w:bCs/>
          <w:szCs w:val="21"/>
          <w:highlight w:val="none"/>
        </w:rPr>
      </w:pPr>
      <w:r>
        <w:rPr>
          <w:rFonts w:hint="eastAsia"/>
          <w:szCs w:val="21"/>
          <w:highlight w:val="none"/>
        </w:rPr>
        <w:t xml:space="preserve">18.1 </w:t>
      </w:r>
      <w:r>
        <w:rPr>
          <w:rFonts w:hint="eastAsia"/>
          <w:szCs w:val="21"/>
          <w:highlight w:val="none"/>
          <w:lang w:eastAsia="zh-TW"/>
        </w:rPr>
        <w:t>投标人应提交证明其有资格参加投标和中标后有能力履行合同的文件</w:t>
      </w:r>
      <w:r>
        <w:rPr>
          <w:rFonts w:hint="eastAsia"/>
          <w:szCs w:val="21"/>
          <w:highlight w:val="none"/>
        </w:rPr>
        <w:t>，</w:t>
      </w:r>
      <w:r>
        <w:rPr>
          <w:rFonts w:hint="eastAsia"/>
          <w:szCs w:val="21"/>
          <w:highlight w:val="none"/>
          <w:lang w:eastAsia="zh-TW"/>
        </w:rPr>
        <w:t>并作为其投标文件的一部分。如果投标人为联合体</w:t>
      </w:r>
      <w:r>
        <w:rPr>
          <w:rFonts w:hint="eastAsia"/>
          <w:szCs w:val="21"/>
          <w:highlight w:val="none"/>
        </w:rPr>
        <w:t>，</w:t>
      </w:r>
      <w:r>
        <w:rPr>
          <w:rFonts w:hint="eastAsia"/>
          <w:szCs w:val="21"/>
          <w:highlight w:val="none"/>
          <w:lang w:eastAsia="zh-TW"/>
        </w:rPr>
        <w:t>应提交联合体各方的资格证明文件、</w:t>
      </w:r>
      <w:r>
        <w:rPr>
          <w:rFonts w:hint="eastAsia"/>
          <w:szCs w:val="21"/>
          <w:highlight w:val="none"/>
        </w:rPr>
        <w:t>共同投标协议</w:t>
      </w:r>
      <w:r>
        <w:rPr>
          <w:rFonts w:hint="eastAsia"/>
          <w:szCs w:val="21"/>
          <w:highlight w:val="none"/>
          <w:lang w:eastAsia="zh-TW"/>
        </w:rPr>
        <w:t>并注明</w:t>
      </w:r>
      <w:r>
        <w:rPr>
          <w:rFonts w:hint="eastAsia"/>
          <w:szCs w:val="21"/>
          <w:highlight w:val="none"/>
        </w:rPr>
        <w:t>主体方及各方拟承担的工作和责任。</w:t>
      </w:r>
      <w:r>
        <w:rPr>
          <w:rFonts w:hint="eastAsia"/>
          <w:szCs w:val="21"/>
          <w:highlight w:val="none"/>
          <w:lang w:eastAsia="zh-TW"/>
        </w:rPr>
        <w:t>否则</w:t>
      </w:r>
      <w:r>
        <w:rPr>
          <w:rFonts w:hint="eastAsia"/>
          <w:szCs w:val="21"/>
          <w:highlight w:val="none"/>
        </w:rPr>
        <w:t>，</w:t>
      </w:r>
      <w:r>
        <w:rPr>
          <w:rFonts w:hint="eastAsia"/>
          <w:szCs w:val="21"/>
          <w:highlight w:val="none"/>
          <w:lang w:eastAsia="zh-TW"/>
        </w:rPr>
        <w:t>将导致其投标</w:t>
      </w:r>
      <w:r>
        <w:rPr>
          <w:rFonts w:hint="eastAsia"/>
          <w:szCs w:val="21"/>
          <w:highlight w:val="none"/>
        </w:rPr>
        <w:t>无效。</w:t>
      </w:r>
    </w:p>
    <w:p>
      <w:pPr>
        <w:widowControl w:val="0"/>
        <w:shd w:val="clear" w:color="auto" w:fill="auto"/>
        <w:tabs>
          <w:tab w:val="clear" w:pos="426"/>
        </w:tabs>
        <w:autoSpaceDE w:val="0"/>
        <w:autoSpaceDN w:val="0"/>
        <w:rPr>
          <w:szCs w:val="21"/>
          <w:highlight w:val="none"/>
          <w:lang w:eastAsia="zh-TW"/>
        </w:rPr>
      </w:pPr>
      <w:r>
        <w:rPr>
          <w:rFonts w:hint="eastAsia"/>
          <w:szCs w:val="21"/>
          <w:highlight w:val="none"/>
        </w:rPr>
        <w:t xml:space="preserve">18.2 </w:t>
      </w:r>
      <w:r>
        <w:rPr>
          <w:rFonts w:hint="eastAsia"/>
          <w:szCs w:val="21"/>
          <w:highlight w:val="none"/>
          <w:lang w:eastAsia="zh-TW"/>
        </w:rPr>
        <w:t>投标人提交的资格证明文件应证明其</w:t>
      </w:r>
      <w:r>
        <w:rPr>
          <w:rFonts w:hint="eastAsia"/>
          <w:szCs w:val="21"/>
          <w:highlight w:val="none"/>
        </w:rPr>
        <w:t>满足</w:t>
      </w:r>
      <w:r>
        <w:rPr>
          <w:rFonts w:hint="eastAsia"/>
          <w:szCs w:val="21"/>
          <w:highlight w:val="none"/>
          <w:lang w:eastAsia="zh-TW"/>
        </w:rPr>
        <w:t>本须知定义的合格投标人。</w:t>
      </w:r>
    </w:p>
    <w:p>
      <w:pPr>
        <w:tabs>
          <w:tab w:val="clear" w:pos="426"/>
        </w:tabs>
        <w:rPr>
          <w:highlight w:val="none"/>
        </w:rPr>
      </w:pPr>
      <w:r>
        <w:rPr>
          <w:rFonts w:hint="eastAsia"/>
          <w:highlight w:val="none"/>
        </w:rPr>
        <w:t>19．证明投标文件投标技术方案的合格性和符合招标文件规定的文件要求</w:t>
      </w:r>
    </w:p>
    <w:p>
      <w:pPr>
        <w:tabs>
          <w:tab w:val="clear" w:pos="426"/>
        </w:tabs>
        <w:rPr>
          <w:highlight w:val="none"/>
        </w:rPr>
      </w:pPr>
      <w:r>
        <w:rPr>
          <w:rFonts w:hint="eastAsia"/>
          <w:highlight w:val="none"/>
        </w:rPr>
        <w:t>19</w:t>
      </w:r>
      <w:r>
        <w:rPr>
          <w:highlight w:val="none"/>
        </w:rPr>
        <w:t xml:space="preserve">.1 </w:t>
      </w:r>
      <w:r>
        <w:rPr>
          <w:rFonts w:hint="eastAsia"/>
          <w:highlight w:val="none"/>
        </w:rPr>
        <w:t>投标人应提交证明文件证明其投标技术方案项下的货物、工程和服务的合格性符合招标文件规定。该投标技术方案及其证明文件作为投标文件的一部分。</w:t>
      </w:r>
    </w:p>
    <w:p>
      <w:pPr>
        <w:tabs>
          <w:tab w:val="clear" w:pos="426"/>
        </w:tabs>
        <w:rPr>
          <w:highlight w:val="none"/>
        </w:rPr>
      </w:pPr>
      <w:r>
        <w:rPr>
          <w:highlight w:val="none"/>
        </w:rPr>
        <w:t>1</w:t>
      </w:r>
      <w:r>
        <w:rPr>
          <w:rFonts w:hint="eastAsia"/>
          <w:highlight w:val="none"/>
        </w:rPr>
        <w:t>9</w:t>
      </w:r>
      <w:r>
        <w:rPr>
          <w:highlight w:val="none"/>
        </w:rPr>
        <w:t xml:space="preserve">.2 </w:t>
      </w:r>
      <w:r>
        <w:rPr>
          <w:rFonts w:hint="eastAsia"/>
          <w:highlight w:val="none"/>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pPr>
        <w:tabs>
          <w:tab w:val="clear" w:pos="426"/>
        </w:tabs>
        <w:rPr>
          <w:highlight w:val="none"/>
        </w:rPr>
      </w:pPr>
      <w:r>
        <w:rPr>
          <w:rFonts w:hint="eastAsia"/>
          <w:highlight w:val="none"/>
        </w:rPr>
        <w:t>19.2.1主要技术指标和性能的详细说明。</w:t>
      </w:r>
    </w:p>
    <w:p>
      <w:pPr>
        <w:tabs>
          <w:tab w:val="clear" w:pos="426"/>
        </w:tabs>
        <w:rPr>
          <w:highlight w:val="none"/>
        </w:rPr>
      </w:pPr>
      <w:r>
        <w:rPr>
          <w:rFonts w:hint="eastAsia"/>
          <w:highlight w:val="none"/>
        </w:rPr>
        <w:t>19.2.</w:t>
      </w:r>
      <w:r>
        <w:rPr>
          <w:highlight w:val="none"/>
        </w:rPr>
        <w:t>2</w:t>
      </w:r>
      <w:r>
        <w:rPr>
          <w:rFonts w:hint="eastAsia"/>
          <w:highlight w:val="none"/>
        </w:rPr>
        <w:t>投标产品从采购单位开始使用至招标文件中规定的周期内正常、连续地使用所必须的备件和专用工具清单，包括备件和专用工具的货源及现行价格。</w:t>
      </w:r>
    </w:p>
    <w:p>
      <w:pPr>
        <w:tabs>
          <w:tab w:val="clear" w:pos="426"/>
        </w:tabs>
        <w:rPr>
          <w:highlight w:val="none"/>
        </w:rPr>
      </w:pPr>
      <w:r>
        <w:rPr>
          <w:rFonts w:hint="eastAsia"/>
          <w:highlight w:val="none"/>
        </w:rPr>
        <w:t>19.2.</w:t>
      </w:r>
      <w:r>
        <w:rPr>
          <w:highlight w:val="none"/>
        </w:rPr>
        <w:t>3</w:t>
      </w:r>
      <w:r>
        <w:rPr>
          <w:rFonts w:hint="eastAsia"/>
          <w:highlight w:val="none"/>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pPr>
        <w:tabs>
          <w:tab w:val="clear" w:pos="426"/>
        </w:tabs>
        <w:rPr>
          <w:highlight w:val="none"/>
        </w:rPr>
      </w:pPr>
      <w:r>
        <w:rPr>
          <w:rFonts w:hint="eastAsia"/>
          <w:highlight w:val="none"/>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pPr>
        <w:tabs>
          <w:tab w:val="clear" w:pos="426"/>
        </w:tabs>
        <w:rPr>
          <w:highlight w:val="none"/>
        </w:rPr>
      </w:pPr>
      <w:r>
        <w:rPr>
          <w:rFonts w:hint="eastAsia"/>
          <w:highlight w:val="none"/>
        </w:rPr>
        <w:t>19.2.5我国政府机构出具的产品检验和核准证件应为证件正面、背面和附件标注的全部具体内容；产品检验和核准证件应能清晰的阅读、识别和判断，提供原件复印件。</w:t>
      </w:r>
    </w:p>
    <w:p>
      <w:pPr>
        <w:tabs>
          <w:tab w:val="clear" w:pos="426"/>
        </w:tabs>
        <w:rPr>
          <w:highlight w:val="none"/>
        </w:rPr>
      </w:pPr>
      <w:r>
        <w:rPr>
          <w:rFonts w:hint="eastAsia"/>
          <w:highlight w:val="none"/>
        </w:rPr>
        <w:t>19.3相关资料不符合19.2款要求的，评标委员会有权认定为投标技术方案不合格响应，其相关分数予以扣减或作废标处理。</w:t>
      </w:r>
    </w:p>
    <w:p>
      <w:pPr>
        <w:tabs>
          <w:tab w:val="clear" w:pos="426"/>
        </w:tabs>
        <w:rPr>
          <w:highlight w:val="none"/>
        </w:rPr>
      </w:pPr>
      <w:r>
        <w:rPr>
          <w:rFonts w:hint="eastAsia"/>
          <w:highlight w:val="none"/>
        </w:rPr>
        <w:t>19.4评标委员会有权对以谋取中标为目的的技术规格模糊响应（如有意照搬照抄招标文件的技术要求）或虚假响应予以认定。供应商上述行为一经发现或查实，除扣分或废标外，采购代理机构可视情况报政府采购监督管理部门做进一步处理。</w:t>
      </w:r>
    </w:p>
    <w:p>
      <w:pPr>
        <w:tabs>
          <w:tab w:val="clear" w:pos="426"/>
        </w:tabs>
        <w:rPr>
          <w:highlight w:val="none"/>
        </w:rPr>
      </w:pPr>
      <w:r>
        <w:rPr>
          <w:highlight w:val="none"/>
        </w:rPr>
        <w:t>1</w:t>
      </w:r>
      <w:r>
        <w:rPr>
          <w:rFonts w:hint="eastAsia"/>
          <w:highlight w:val="none"/>
        </w:rPr>
        <w:t>9</w:t>
      </w:r>
      <w:r>
        <w:rPr>
          <w:highlight w:val="none"/>
        </w:rPr>
        <w:t>.</w:t>
      </w:r>
      <w:r>
        <w:rPr>
          <w:rFonts w:hint="eastAsia"/>
          <w:highlight w:val="none"/>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标委员会来评判。</w:t>
      </w:r>
    </w:p>
    <w:p>
      <w:pPr>
        <w:tabs>
          <w:tab w:val="clear" w:pos="426"/>
        </w:tabs>
        <w:rPr>
          <w:highlight w:val="none"/>
        </w:rPr>
      </w:pPr>
      <w:r>
        <w:rPr>
          <w:rFonts w:hint="eastAsia"/>
          <w:highlight w:val="none"/>
        </w:rPr>
        <w:t>19.6为保证公平公正，除非另有规定或说明，投标人对同一货物或服务投标时，不得同时提供两套或两套以上的投标方案。</w:t>
      </w:r>
    </w:p>
    <w:p>
      <w:pPr>
        <w:tabs>
          <w:tab w:val="clear" w:pos="426"/>
        </w:tabs>
        <w:rPr>
          <w:highlight w:val="none"/>
        </w:rPr>
      </w:pPr>
      <w:r>
        <w:rPr>
          <w:rFonts w:hint="eastAsia"/>
          <w:highlight w:val="none"/>
        </w:rPr>
        <w:t>20．投标文件其他证明文件的要求</w:t>
      </w:r>
    </w:p>
    <w:p>
      <w:pPr>
        <w:tabs>
          <w:tab w:val="clear" w:pos="426"/>
        </w:tabs>
        <w:rPr>
          <w:highlight w:val="none"/>
        </w:rPr>
      </w:pPr>
      <w:r>
        <w:rPr>
          <w:rFonts w:hint="eastAsia"/>
          <w:highlight w:val="none"/>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审查或符合性审查的予以无效标处理，涉及《评标信息》打分项的则该项评分予以0分处理。</w:t>
      </w:r>
    </w:p>
    <w:p>
      <w:pPr>
        <w:tabs>
          <w:tab w:val="clear" w:pos="426"/>
        </w:tabs>
        <w:rPr>
          <w:highlight w:val="none"/>
        </w:rPr>
      </w:pPr>
      <w:r>
        <w:rPr>
          <w:rFonts w:hint="eastAsia"/>
          <w:highlight w:val="none"/>
        </w:rPr>
        <w:t>20.2本项目涉及提供的有关资质证书，若原有资质证书处于年审期间，投标人提供年审证明的可按原资质投标；若投标人正在申报上一级别资质，在未获批准之前，仍按原级别资质投标。</w:t>
      </w:r>
    </w:p>
    <w:p>
      <w:pPr>
        <w:tabs>
          <w:tab w:val="clear" w:pos="426"/>
        </w:tabs>
        <w:rPr>
          <w:highlight w:val="none"/>
        </w:rPr>
      </w:pPr>
      <w:bookmarkStart w:id="225" w:name="_Toc73518136"/>
      <w:bookmarkStart w:id="226" w:name="_Toc60631639"/>
      <w:bookmarkStart w:id="227" w:name="_Toc73521566"/>
      <w:bookmarkStart w:id="228" w:name="_Toc60560644"/>
      <w:bookmarkStart w:id="229" w:name="_Toc100052383"/>
      <w:bookmarkStart w:id="230" w:name="_Toc73521654"/>
      <w:bookmarkStart w:id="231" w:name="_Toc73517658"/>
      <w:r>
        <w:rPr>
          <w:rFonts w:hint="eastAsia"/>
          <w:highlight w:val="none"/>
        </w:rPr>
        <w:t>21．投标有效期</w:t>
      </w:r>
      <w:bookmarkEnd w:id="225"/>
      <w:bookmarkEnd w:id="226"/>
      <w:bookmarkEnd w:id="227"/>
      <w:bookmarkEnd w:id="228"/>
      <w:bookmarkEnd w:id="229"/>
      <w:bookmarkEnd w:id="230"/>
      <w:bookmarkEnd w:id="231"/>
    </w:p>
    <w:p>
      <w:pPr>
        <w:tabs>
          <w:tab w:val="clear" w:pos="426"/>
        </w:tabs>
        <w:rPr>
          <w:highlight w:val="none"/>
        </w:rPr>
      </w:pPr>
      <w:r>
        <w:rPr>
          <w:rFonts w:hint="eastAsia"/>
          <w:highlight w:val="none"/>
        </w:rPr>
        <w:t>21.1 投标有效期为从投标截止之日算起的日历天数，具体见专用条款中投标有效期的天数要求。在此期限内，所有投标文件均保持有效；</w:t>
      </w:r>
    </w:p>
    <w:p>
      <w:pPr>
        <w:tabs>
          <w:tab w:val="clear" w:pos="426"/>
        </w:tabs>
        <w:rPr>
          <w:highlight w:val="none"/>
        </w:rPr>
      </w:pPr>
      <w:r>
        <w:rPr>
          <w:rFonts w:hint="eastAsia"/>
          <w:highlight w:val="none"/>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pPr>
        <w:tabs>
          <w:tab w:val="clear" w:pos="426"/>
        </w:tabs>
        <w:rPr>
          <w:highlight w:val="none"/>
        </w:rPr>
      </w:pPr>
      <w:r>
        <w:rPr>
          <w:rFonts w:hint="eastAsia"/>
          <w:highlight w:val="none"/>
        </w:rPr>
        <w:t>21</w:t>
      </w:r>
      <w:r>
        <w:rPr>
          <w:highlight w:val="none"/>
        </w:rPr>
        <w:t>.3</w:t>
      </w:r>
      <w:r>
        <w:rPr>
          <w:rFonts w:hint="eastAsia"/>
          <w:highlight w:val="none"/>
        </w:rPr>
        <w:t xml:space="preserve"> 中标单位的投标书有效期，截止于完成本招标文件规定的全部项目内容，并通过竣工验收及保修结束。</w:t>
      </w:r>
    </w:p>
    <w:p>
      <w:pPr>
        <w:tabs>
          <w:tab w:val="clear" w:pos="426"/>
        </w:tabs>
        <w:rPr>
          <w:highlight w:val="none"/>
        </w:rPr>
      </w:pPr>
      <w:bookmarkStart w:id="232" w:name="_Toc73521567"/>
      <w:bookmarkStart w:id="233" w:name="_Toc73518137"/>
      <w:bookmarkStart w:id="234" w:name="_Toc73517659"/>
      <w:bookmarkStart w:id="235" w:name="_Toc100052384"/>
      <w:bookmarkStart w:id="236" w:name="_Toc73521655"/>
      <w:bookmarkStart w:id="237" w:name="_Toc60560645"/>
      <w:bookmarkStart w:id="238" w:name="_Toc60631640"/>
      <w:r>
        <w:rPr>
          <w:rFonts w:hint="eastAsia"/>
          <w:highlight w:val="none"/>
        </w:rPr>
        <w:t>22．投标</w:t>
      </w:r>
      <w:bookmarkEnd w:id="232"/>
      <w:bookmarkEnd w:id="233"/>
      <w:bookmarkEnd w:id="234"/>
      <w:bookmarkEnd w:id="235"/>
      <w:bookmarkEnd w:id="236"/>
      <w:bookmarkEnd w:id="237"/>
      <w:bookmarkEnd w:id="238"/>
      <w:r>
        <w:rPr>
          <w:rFonts w:hint="eastAsia"/>
          <w:highlight w:val="none"/>
        </w:rPr>
        <w:t>保证金</w:t>
      </w:r>
    </w:p>
    <w:p>
      <w:pPr>
        <w:tabs>
          <w:tab w:val="clear" w:pos="426"/>
        </w:tabs>
        <w:rPr>
          <w:highlight w:val="none"/>
        </w:rPr>
      </w:pPr>
      <w:bookmarkStart w:id="239" w:name="_Toc100052385"/>
      <w:bookmarkStart w:id="240" w:name="_Toc73517660"/>
      <w:bookmarkStart w:id="241" w:name="_Toc60560646"/>
      <w:bookmarkStart w:id="242" w:name="_Toc73521568"/>
      <w:bookmarkStart w:id="243" w:name="_Toc73518138"/>
      <w:bookmarkStart w:id="244" w:name="_Toc60631641"/>
      <w:bookmarkStart w:id="245" w:name="_Toc73521656"/>
      <w:r>
        <w:rPr>
          <w:rFonts w:hint="eastAsia"/>
          <w:highlight w:val="none"/>
        </w:rPr>
        <w:t>22.1投标保证金的缴纳：</w:t>
      </w:r>
    </w:p>
    <w:p>
      <w:pPr>
        <w:tabs>
          <w:tab w:val="clear" w:pos="426"/>
        </w:tabs>
        <w:rPr>
          <w:highlight w:val="none"/>
        </w:rPr>
      </w:pPr>
      <w:r>
        <w:rPr>
          <w:rFonts w:hint="eastAsia"/>
          <w:highlight w:val="none"/>
        </w:rPr>
        <w:t>22.1.1缴纳投标保证金的方式：参与投标前须缴纳壹万元保证金，落标或中标项目完成后返还，参与投标前未缴纳的，其投标将不予受理。</w:t>
      </w:r>
    </w:p>
    <w:p>
      <w:pPr>
        <w:tabs>
          <w:tab w:val="clear" w:pos="426"/>
        </w:tabs>
        <w:rPr>
          <w:highlight w:val="none"/>
        </w:rPr>
      </w:pPr>
      <w:r>
        <w:rPr>
          <w:rFonts w:hint="eastAsia"/>
          <w:highlight w:val="none"/>
        </w:rPr>
        <w:t>22.1.2 若为重大项目，采购代理机构可自行决定另外收取投标保证金，不受22</w:t>
      </w:r>
      <w:r>
        <w:rPr>
          <w:highlight w:val="none"/>
        </w:rPr>
        <w:t>.1</w:t>
      </w:r>
      <w:r>
        <w:rPr>
          <w:rFonts w:hint="eastAsia"/>
          <w:highlight w:val="none"/>
        </w:rPr>
        <w:t>.1款限制。是否另外收取投标保证金，请见本招标文件专用条款《对通用条款的补充内容》中的相关要求。</w:t>
      </w:r>
    </w:p>
    <w:p>
      <w:pPr>
        <w:tabs>
          <w:tab w:val="clear" w:pos="426"/>
        </w:tabs>
        <w:rPr>
          <w:szCs w:val="21"/>
          <w:highlight w:val="none"/>
        </w:rPr>
      </w:pPr>
      <w:r>
        <w:rPr>
          <w:rFonts w:hint="eastAsia"/>
          <w:szCs w:val="21"/>
          <w:highlight w:val="none"/>
        </w:rPr>
        <w:t>22.2</w:t>
      </w:r>
      <w:r>
        <w:rPr>
          <w:rFonts w:hint="eastAsia"/>
          <w:highlight w:val="none"/>
        </w:rPr>
        <w:t>投标保证金是为了保护采购代理机构和采购单位免因投标人的行为而蒙受损失。采购代理机构和采购单位因投标人的行为受到损害时可根据本通用条款第</w:t>
      </w:r>
      <w:r>
        <w:rPr>
          <w:rFonts w:hint="eastAsia"/>
          <w:szCs w:val="21"/>
          <w:highlight w:val="none"/>
        </w:rPr>
        <w:t>22.3款</w:t>
      </w:r>
      <w:r>
        <w:rPr>
          <w:rFonts w:hint="eastAsia"/>
          <w:highlight w:val="none"/>
        </w:rPr>
        <w:t>的规定没收投标人的投标保证金。</w:t>
      </w:r>
    </w:p>
    <w:p>
      <w:pPr>
        <w:tabs>
          <w:tab w:val="clear" w:pos="426"/>
        </w:tabs>
        <w:rPr>
          <w:highlight w:val="none"/>
        </w:rPr>
      </w:pPr>
      <w:r>
        <w:rPr>
          <w:rFonts w:hint="eastAsia"/>
          <w:highlight w:val="none"/>
        </w:rPr>
        <w:t>22.3如下列任何情况发生时，投标保证金将被没收。</w:t>
      </w:r>
    </w:p>
    <w:p>
      <w:pPr>
        <w:tabs>
          <w:tab w:val="clear" w:pos="426"/>
        </w:tabs>
        <w:rPr>
          <w:highlight w:val="none"/>
        </w:rPr>
      </w:pPr>
      <w:r>
        <w:rPr>
          <w:rFonts w:hint="eastAsia"/>
          <w:highlight w:val="none"/>
        </w:rPr>
        <w:t>1）投标人在招标文件中规定的投标有效期内撤回其投标；</w:t>
      </w:r>
    </w:p>
    <w:p>
      <w:pPr>
        <w:tabs>
          <w:tab w:val="clear" w:pos="426"/>
        </w:tabs>
        <w:rPr>
          <w:highlight w:val="none"/>
        </w:rPr>
      </w:pPr>
      <w:r>
        <w:rPr>
          <w:rFonts w:hint="eastAsia"/>
          <w:highlight w:val="none"/>
        </w:rPr>
        <w:t>2）中标人在规定期限内未能根据本项通用条款第47条规定签订合同；</w:t>
      </w:r>
    </w:p>
    <w:p>
      <w:pPr>
        <w:tabs>
          <w:tab w:val="clear" w:pos="426"/>
        </w:tabs>
        <w:rPr>
          <w:highlight w:val="none"/>
        </w:rPr>
      </w:pPr>
      <w:r>
        <w:rPr>
          <w:rFonts w:hint="eastAsia"/>
          <w:highlight w:val="none"/>
        </w:rPr>
        <w:t>3）投标人提供虚假投标文件或虚假补充文件：</w:t>
      </w:r>
    </w:p>
    <w:p>
      <w:pPr>
        <w:tabs>
          <w:tab w:val="clear" w:pos="426"/>
        </w:tabs>
        <w:rPr>
          <w:highlight w:val="none"/>
        </w:rPr>
      </w:pPr>
      <w:r>
        <w:rPr>
          <w:rFonts w:hint="eastAsia"/>
          <w:highlight w:val="none"/>
        </w:rPr>
        <w:t>4）投标人以谋取中标为目的的技术规格模糊响应（如有意照搬照抄招标文件的技术要求）或虚假响应的；</w:t>
      </w:r>
    </w:p>
    <w:p>
      <w:pPr>
        <w:tabs>
          <w:tab w:val="clear" w:pos="426"/>
        </w:tabs>
        <w:rPr>
          <w:highlight w:val="none"/>
        </w:rPr>
      </w:pPr>
      <w:r>
        <w:rPr>
          <w:rFonts w:hint="eastAsia"/>
          <w:highlight w:val="none"/>
        </w:rPr>
        <w:t>5）投标人质疑投诉提供虚假情况。</w:t>
      </w:r>
    </w:p>
    <w:p>
      <w:pPr>
        <w:tabs>
          <w:tab w:val="clear" w:pos="426"/>
        </w:tabs>
        <w:rPr>
          <w:highlight w:val="none"/>
        </w:rPr>
      </w:pPr>
      <w:r>
        <w:rPr>
          <w:rFonts w:hint="eastAsia"/>
          <w:highlight w:val="none"/>
        </w:rPr>
        <w:t>22.4投标保证金账户信息：</w:t>
      </w:r>
    </w:p>
    <w:p>
      <w:pPr>
        <w:tabs>
          <w:tab w:val="clear" w:pos="426"/>
        </w:tabs>
        <w:rPr>
          <w:b/>
          <w:highlight w:val="none"/>
        </w:rPr>
      </w:pPr>
      <w:r>
        <w:rPr>
          <w:rFonts w:hint="eastAsia"/>
          <w:b/>
          <w:highlight w:val="none"/>
        </w:rPr>
        <w:t>账户名称：深圳市政府采购中心</w:t>
      </w:r>
    </w:p>
    <w:p>
      <w:pPr>
        <w:tabs>
          <w:tab w:val="clear" w:pos="426"/>
        </w:tabs>
        <w:rPr>
          <w:b/>
          <w:highlight w:val="none"/>
        </w:rPr>
      </w:pPr>
      <w:r>
        <w:rPr>
          <w:rFonts w:hint="eastAsia"/>
          <w:b/>
          <w:highlight w:val="none"/>
        </w:rPr>
        <w:t>账</w:t>
      </w:r>
      <w:r>
        <w:rPr>
          <w:b/>
          <w:highlight w:val="none"/>
        </w:rPr>
        <w:t xml:space="preserve">    号：0012100200549</w:t>
      </w:r>
    </w:p>
    <w:p>
      <w:pPr>
        <w:tabs>
          <w:tab w:val="clear" w:pos="426"/>
        </w:tabs>
        <w:rPr>
          <w:b/>
          <w:highlight w:val="none"/>
        </w:rPr>
      </w:pPr>
      <w:r>
        <w:rPr>
          <w:rFonts w:hint="eastAsia"/>
          <w:b/>
          <w:highlight w:val="none"/>
        </w:rPr>
        <w:t>开户银行：平安银行股份有限公司深圳分行营业部</w:t>
      </w:r>
    </w:p>
    <w:p>
      <w:pPr>
        <w:tabs>
          <w:tab w:val="clear" w:pos="426"/>
        </w:tabs>
        <w:rPr>
          <w:b/>
          <w:highlight w:val="none"/>
        </w:rPr>
      </w:pPr>
      <w:r>
        <w:rPr>
          <w:rFonts w:hint="eastAsia"/>
          <w:b/>
          <w:highlight w:val="none"/>
        </w:rPr>
        <w:t>行</w:t>
      </w:r>
      <w:r>
        <w:rPr>
          <w:b/>
          <w:highlight w:val="none"/>
        </w:rPr>
        <w:t xml:space="preserve">    号：307584021015</w:t>
      </w:r>
    </w:p>
    <w:p>
      <w:pPr>
        <w:tabs>
          <w:tab w:val="clear" w:pos="426"/>
        </w:tabs>
        <w:rPr>
          <w:highlight w:val="none"/>
        </w:rPr>
      </w:pPr>
      <w:r>
        <w:rPr>
          <w:rFonts w:hint="eastAsia"/>
          <w:highlight w:val="none"/>
        </w:rPr>
        <w:t>23．投标人的替代方案</w:t>
      </w:r>
      <w:bookmarkEnd w:id="239"/>
      <w:bookmarkEnd w:id="240"/>
      <w:bookmarkEnd w:id="241"/>
      <w:bookmarkEnd w:id="242"/>
      <w:bookmarkEnd w:id="243"/>
      <w:bookmarkEnd w:id="244"/>
      <w:bookmarkEnd w:id="245"/>
    </w:p>
    <w:p>
      <w:pPr>
        <w:tabs>
          <w:tab w:val="clear" w:pos="426"/>
        </w:tabs>
        <w:rPr>
          <w:highlight w:val="none"/>
        </w:rPr>
      </w:pPr>
      <w:r>
        <w:rPr>
          <w:rFonts w:hint="eastAsia"/>
          <w:highlight w:val="none"/>
        </w:rPr>
        <w:t>23.1投标人所提交的投标文件应完全满足招标文件（包括图纸和技术规范所示的基本技术设计）的要求。除非招标的项目明确允许投标人提交替代方案，否则投标人有关替代方案的条款将不予考虑。</w:t>
      </w:r>
    </w:p>
    <w:p>
      <w:pPr>
        <w:tabs>
          <w:tab w:val="clear" w:pos="426"/>
        </w:tabs>
        <w:rPr>
          <w:bCs/>
          <w:sz w:val="30"/>
          <w:szCs w:val="30"/>
          <w:highlight w:val="none"/>
        </w:rPr>
      </w:pPr>
      <w:r>
        <w:rPr>
          <w:rFonts w:hint="eastAsia"/>
          <w:highlight w:val="none"/>
        </w:rPr>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46" w:name="_Toc101074881"/>
      <w:bookmarkStart w:id="247" w:name="_Toc73518144"/>
      <w:bookmarkStart w:id="248" w:name="_Toc73517666"/>
      <w:bookmarkStart w:id="249" w:name="_Toc73521662"/>
      <w:bookmarkStart w:id="250" w:name="_Toc100052391"/>
      <w:bookmarkStart w:id="251" w:name="_Toc73521574"/>
    </w:p>
    <w:p>
      <w:pPr>
        <w:tabs>
          <w:tab w:val="clear" w:pos="426"/>
        </w:tabs>
        <w:rPr>
          <w:highlight w:val="none"/>
        </w:rPr>
      </w:pPr>
      <w:bookmarkStart w:id="252" w:name="_Toc135666628"/>
      <w:bookmarkStart w:id="253" w:name="_Toc134852021"/>
      <w:bookmarkStart w:id="254" w:name="_Toc201401576"/>
      <w:bookmarkStart w:id="255" w:name="_Toc148413300"/>
      <w:bookmarkStart w:id="256" w:name="_Toc98817934"/>
      <w:bookmarkStart w:id="257" w:name="_Toc187729580"/>
      <w:bookmarkStart w:id="258" w:name="_Toc148779952"/>
      <w:bookmarkStart w:id="259" w:name="_Toc188869280"/>
      <w:bookmarkStart w:id="260" w:name="_Toc163530302"/>
      <w:bookmarkStart w:id="261" w:name="_Toc201997835"/>
      <w:bookmarkStart w:id="262" w:name="_Toc135666815"/>
      <w:bookmarkStart w:id="263" w:name="_Toc157847820"/>
      <w:bookmarkStart w:id="264" w:name="_Toc148778157"/>
      <w:bookmarkStart w:id="265" w:name="_Toc148780238"/>
      <w:bookmarkStart w:id="266" w:name="_Toc148329801"/>
      <w:bookmarkStart w:id="267" w:name="_Toc143658455"/>
      <w:bookmarkStart w:id="268" w:name="_Toc148954464"/>
      <w:bookmarkStart w:id="269" w:name="_Toc148954859"/>
      <w:bookmarkStart w:id="270" w:name="_Toc201401384"/>
      <w:r>
        <w:rPr>
          <w:rFonts w:hint="eastAsia"/>
          <w:highlight w:val="none"/>
        </w:rPr>
        <w:t>24． 投标文件的密封、标记</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hint="eastAsia"/>
          <w:highlight w:val="none"/>
        </w:rPr>
        <w:t>和装订</w:t>
      </w:r>
    </w:p>
    <w:p>
      <w:pPr>
        <w:widowControl w:val="0"/>
        <w:shd w:val="clear" w:color="auto" w:fill="auto"/>
        <w:tabs>
          <w:tab w:val="clear" w:pos="426"/>
        </w:tabs>
        <w:autoSpaceDE w:val="0"/>
        <w:autoSpaceDN w:val="0"/>
        <w:rPr>
          <w:rFonts w:cs="黑体"/>
          <w:bCs/>
          <w:szCs w:val="21"/>
          <w:highlight w:val="none"/>
        </w:rPr>
      </w:pPr>
      <w:r>
        <w:rPr>
          <w:rFonts w:hint="eastAsia"/>
          <w:highlight w:val="none"/>
        </w:rPr>
        <w:t>24.1</w:t>
      </w:r>
      <w:r>
        <w:rPr>
          <w:rFonts w:hint="eastAsia" w:cs="黑体"/>
          <w:bCs/>
          <w:szCs w:val="21"/>
          <w:highlight w:val="none"/>
        </w:rPr>
        <w:t>为方便开标唱标，投标人应单独提交一个密封信封，并在信封上标明“开标信封”的字样，内容包括开标一览表(报价表)、法定代表人证明书、法定代表人授权委托书、被授权人身份证复印件、</w:t>
      </w:r>
      <w:r>
        <w:rPr>
          <w:rFonts w:hint="eastAsia"/>
          <w:szCs w:val="21"/>
          <w:highlight w:val="none"/>
        </w:rPr>
        <w:t>投标文件电子光盘</w:t>
      </w:r>
      <w:r>
        <w:rPr>
          <w:rFonts w:hint="eastAsia" w:cs="黑体"/>
          <w:bCs/>
          <w:szCs w:val="21"/>
          <w:highlight w:val="none"/>
        </w:rPr>
        <w:t>，若本项目（或包组）接受联合体投标，则联合体投标，应将各方共同签署的《联合投标协议》和《投标联合体授权主体方协议书》一并提交。开标信封是投标文件的组成部分。</w:t>
      </w:r>
    </w:p>
    <w:p>
      <w:pPr>
        <w:tabs>
          <w:tab w:val="clear" w:pos="426"/>
        </w:tabs>
        <w:rPr>
          <w:color w:val="000000"/>
          <w:szCs w:val="21"/>
          <w:highlight w:val="none"/>
        </w:rPr>
      </w:pPr>
      <w:r>
        <w:rPr>
          <w:highlight w:val="none"/>
        </w:rPr>
        <w:t>24.2 投标文件为纸质投标文件，含正本和副本，投标文件应标明项目编号、招标项目名称及“正本”或“副本”。投标文件的所有内容应按A4篇幅装订成一册，装订应牢固不可拆卸。装订好的投标文件密封包装在一个外密封袋中，并在外密封袋上注明：</w:t>
      </w:r>
    </w:p>
    <w:p>
      <w:pPr>
        <w:tabs>
          <w:tab w:val="clear" w:pos="426"/>
        </w:tabs>
        <w:rPr>
          <w:highlight w:val="none"/>
        </w:rPr>
      </w:pPr>
      <w:r>
        <w:rPr>
          <w:rFonts w:hint="eastAsia"/>
          <w:highlight w:val="none"/>
        </w:rPr>
        <w:t xml:space="preserve">投标文件 </w:t>
      </w:r>
    </w:p>
    <w:p>
      <w:pPr>
        <w:tabs>
          <w:tab w:val="clear" w:pos="426"/>
        </w:tabs>
        <w:rPr>
          <w:highlight w:val="none"/>
        </w:rPr>
      </w:pPr>
      <w:r>
        <w:rPr>
          <w:rFonts w:hint="eastAsia"/>
          <w:highlight w:val="none"/>
        </w:rPr>
        <w:t>招标项目编号：</w:t>
      </w:r>
    </w:p>
    <w:p>
      <w:pPr>
        <w:tabs>
          <w:tab w:val="clear" w:pos="426"/>
        </w:tabs>
        <w:rPr>
          <w:highlight w:val="none"/>
        </w:rPr>
      </w:pPr>
      <w:r>
        <w:rPr>
          <w:rFonts w:hint="eastAsia"/>
          <w:highlight w:val="none"/>
        </w:rPr>
        <w:t>项目名称：</w:t>
      </w:r>
    </w:p>
    <w:p>
      <w:pPr>
        <w:tabs>
          <w:tab w:val="clear" w:pos="426"/>
        </w:tabs>
        <w:rPr>
          <w:highlight w:val="none"/>
        </w:rPr>
      </w:pPr>
      <w:r>
        <w:rPr>
          <w:rFonts w:hint="eastAsia"/>
          <w:highlight w:val="none"/>
        </w:rPr>
        <w:t>投标人名称（盖章）：</w:t>
      </w:r>
    </w:p>
    <w:p>
      <w:pPr>
        <w:tabs>
          <w:tab w:val="clear" w:pos="426"/>
        </w:tabs>
        <w:rPr>
          <w:highlight w:val="none"/>
        </w:rPr>
      </w:pPr>
      <w:r>
        <w:rPr>
          <w:rFonts w:hint="eastAsia"/>
          <w:highlight w:val="none"/>
        </w:rPr>
        <w:t>投标截止时间：</w:t>
      </w:r>
      <w:r>
        <w:rPr>
          <w:rFonts w:hint="eastAsia"/>
          <w:highlight w:val="none"/>
          <w:u w:val="single"/>
        </w:rPr>
        <w:t xml:space="preserve">       年      月      日      时      分（前不得开封）</w:t>
      </w:r>
      <w:r>
        <w:rPr>
          <w:rFonts w:hint="eastAsia"/>
          <w:highlight w:val="none"/>
        </w:rPr>
        <w:t>。</w:t>
      </w:r>
    </w:p>
    <w:p>
      <w:pPr>
        <w:tabs>
          <w:tab w:val="clear" w:pos="426"/>
        </w:tabs>
        <w:rPr>
          <w:highlight w:val="none"/>
        </w:rPr>
      </w:pPr>
      <w:r>
        <w:rPr>
          <w:rFonts w:hint="eastAsia"/>
          <w:highlight w:val="none"/>
        </w:rPr>
        <w:t>24.3  所有投标文件的密封袋的封口处均应加盖投标人公章。</w:t>
      </w:r>
    </w:p>
    <w:p>
      <w:pPr>
        <w:tabs>
          <w:tab w:val="clear" w:pos="426"/>
        </w:tabs>
        <w:rPr>
          <w:highlight w:val="none"/>
        </w:rPr>
      </w:pPr>
      <w:r>
        <w:rPr>
          <w:rFonts w:hint="eastAsia"/>
          <w:highlight w:val="none"/>
        </w:rPr>
        <w:t>24.4  对于因标书标识不清、装订不牢、密封不严等导致的不利后果由该投标人自负。</w:t>
      </w:r>
    </w:p>
    <w:p>
      <w:pPr>
        <w:tabs>
          <w:tab w:val="clear" w:pos="426"/>
        </w:tabs>
        <w:rPr>
          <w:color w:val="000000"/>
          <w:szCs w:val="21"/>
          <w:highlight w:val="none"/>
        </w:rPr>
      </w:pPr>
      <w:r>
        <w:rPr>
          <w:rFonts w:hint="eastAsia"/>
          <w:color w:val="000000"/>
          <w:szCs w:val="21"/>
          <w:highlight w:val="none"/>
        </w:rPr>
        <w:t>24.5  投标方应将投标文件按24.1-24.2中的规定进行密封和标记后，按专用条款中采购公告注明的地址送至采购代理机构。</w:t>
      </w:r>
    </w:p>
    <w:p>
      <w:pPr>
        <w:tabs>
          <w:tab w:val="clear" w:pos="426"/>
        </w:tabs>
        <w:rPr>
          <w:color w:val="000000"/>
          <w:szCs w:val="21"/>
          <w:highlight w:val="none"/>
        </w:rPr>
      </w:pPr>
      <w:r>
        <w:rPr>
          <w:rFonts w:hint="eastAsia"/>
          <w:color w:val="000000"/>
          <w:szCs w:val="21"/>
          <w:highlight w:val="none"/>
        </w:rPr>
        <w:t>24.6  邮寄、电报、电话、传真形式的投标概不接受。</w:t>
      </w:r>
    </w:p>
    <w:p>
      <w:pPr>
        <w:tabs>
          <w:tab w:val="clear" w:pos="426"/>
        </w:tabs>
        <w:rPr>
          <w:b/>
          <w:color w:val="000000"/>
          <w:szCs w:val="21"/>
          <w:highlight w:val="none"/>
        </w:rPr>
      </w:pPr>
      <w:r>
        <w:rPr>
          <w:rFonts w:hint="eastAsia"/>
          <w:b/>
          <w:color w:val="000000"/>
          <w:szCs w:val="21"/>
          <w:highlight w:val="none"/>
        </w:rPr>
        <w:t xml:space="preserve">24.7  </w:t>
      </w:r>
      <w:r>
        <w:rPr>
          <w:rFonts w:hint="eastAsia"/>
          <w:b/>
          <w:bCs/>
          <w:color w:val="000000"/>
          <w:szCs w:val="21"/>
          <w:highlight w:val="none"/>
        </w:rPr>
        <w:t>投标文件电子版：电子光盘一张（投标文件正本盖章后的彩色扫描件，扫描件要求为PDF格式），请将该光盘放在开标信封中，并在光盘上标明项目编号、项目名称及投标人名称。</w:t>
      </w:r>
    </w:p>
    <w:p>
      <w:pPr>
        <w:tabs>
          <w:tab w:val="clear" w:pos="426"/>
        </w:tabs>
        <w:rPr>
          <w:color w:val="000000"/>
          <w:szCs w:val="21"/>
          <w:highlight w:val="none"/>
        </w:rPr>
      </w:pPr>
      <w:r>
        <w:rPr>
          <w:rFonts w:hint="eastAsia"/>
          <w:color w:val="000000"/>
          <w:szCs w:val="21"/>
          <w:highlight w:val="none"/>
        </w:rPr>
        <w:t>25． 投标截止时间</w:t>
      </w:r>
    </w:p>
    <w:p>
      <w:pPr>
        <w:tabs>
          <w:tab w:val="clear" w:pos="426"/>
        </w:tabs>
        <w:ind w:firstLine="424" w:firstLineChars="202"/>
        <w:rPr>
          <w:szCs w:val="21"/>
          <w:highlight w:val="none"/>
        </w:rPr>
      </w:pPr>
      <w:r>
        <w:rPr>
          <w:rFonts w:hint="eastAsia"/>
          <w:szCs w:val="21"/>
          <w:highlight w:val="none"/>
        </w:rPr>
        <w:t>采购代理机构在投标人须知第24</w:t>
      </w:r>
      <w:r>
        <w:rPr>
          <w:szCs w:val="21"/>
          <w:highlight w:val="none"/>
        </w:rPr>
        <w:t>.</w:t>
      </w:r>
      <w:r>
        <w:rPr>
          <w:rFonts w:hint="eastAsia"/>
          <w:szCs w:val="21"/>
          <w:highlight w:val="none"/>
        </w:rPr>
        <w:t>5条规定的地址收到投标书的时间不得迟于“投标人须知前附表”第</w:t>
      </w:r>
      <w:r>
        <w:rPr>
          <w:szCs w:val="21"/>
          <w:highlight w:val="none"/>
        </w:rPr>
        <w:t>19</w:t>
      </w:r>
      <w:r>
        <w:rPr>
          <w:rFonts w:hint="eastAsia"/>
          <w:szCs w:val="21"/>
          <w:highlight w:val="none"/>
        </w:rPr>
        <w:t>项所规定的时间。</w:t>
      </w:r>
    </w:p>
    <w:p>
      <w:pPr>
        <w:tabs>
          <w:tab w:val="clear" w:pos="426"/>
        </w:tabs>
        <w:rPr>
          <w:color w:val="000000"/>
          <w:szCs w:val="21"/>
          <w:highlight w:val="none"/>
        </w:rPr>
      </w:pPr>
      <w:r>
        <w:rPr>
          <w:rFonts w:hint="eastAsia"/>
          <w:color w:val="000000"/>
          <w:szCs w:val="21"/>
          <w:highlight w:val="none"/>
        </w:rPr>
        <w:t>26．迟交的投标书</w:t>
      </w:r>
    </w:p>
    <w:p>
      <w:pPr>
        <w:tabs>
          <w:tab w:val="clear" w:pos="426"/>
        </w:tabs>
        <w:ind w:firstLine="424" w:firstLineChars="202"/>
        <w:rPr>
          <w:color w:val="000000"/>
          <w:szCs w:val="21"/>
          <w:highlight w:val="none"/>
        </w:rPr>
      </w:pPr>
      <w:r>
        <w:rPr>
          <w:rFonts w:hint="eastAsia"/>
          <w:color w:val="000000"/>
          <w:szCs w:val="21"/>
          <w:highlight w:val="none"/>
        </w:rPr>
        <w:t>按照本通用条款第25条规定，采购代理机构将拒绝并原封退回在其规定的投标截止期后收到的任何投标书。</w:t>
      </w:r>
    </w:p>
    <w:p>
      <w:pPr>
        <w:tabs>
          <w:tab w:val="clear" w:pos="426"/>
        </w:tabs>
        <w:rPr>
          <w:highlight w:val="none"/>
        </w:rPr>
      </w:pPr>
      <w:r>
        <w:rPr>
          <w:rFonts w:hint="eastAsia"/>
          <w:highlight w:val="none"/>
        </w:rPr>
        <w:t>27． 投标文件的提交和截标时投标文件的数量要求</w:t>
      </w:r>
    </w:p>
    <w:p>
      <w:pPr>
        <w:tabs>
          <w:tab w:val="clear" w:pos="426"/>
        </w:tabs>
        <w:rPr>
          <w:highlight w:val="none"/>
        </w:rPr>
      </w:pPr>
      <w:r>
        <w:rPr>
          <w:rFonts w:hint="eastAsia"/>
          <w:highlight w:val="none"/>
        </w:rPr>
        <w:t>27.1  投标截止时间和地点。投标人应根据“专用条款”的规定，在投标截止时间前将投标文件密封送达指定地点。未及时送达指定地点及不符合密封、标记、签章、装订要求的投标文件采购代理机构将拒绝接收。</w:t>
      </w:r>
    </w:p>
    <w:p>
      <w:pPr>
        <w:tabs>
          <w:tab w:val="clear" w:pos="426"/>
        </w:tabs>
        <w:rPr>
          <w:highlight w:val="none"/>
        </w:rPr>
      </w:pPr>
      <w:r>
        <w:rPr>
          <w:rFonts w:hint="eastAsia"/>
          <w:highlight w:val="none"/>
        </w:rPr>
        <w:t xml:space="preserve">27.2  </w:t>
      </w:r>
      <w:r>
        <w:rPr>
          <w:highlight w:val="none"/>
        </w:rPr>
        <w:t>截标时</w:t>
      </w:r>
      <w:r>
        <w:rPr>
          <w:rFonts w:hint="eastAsia"/>
          <w:highlight w:val="none"/>
        </w:rPr>
        <w:t>递</w:t>
      </w:r>
      <w:r>
        <w:rPr>
          <w:highlight w:val="none"/>
        </w:rPr>
        <w:t>交标书的投标人数</w:t>
      </w:r>
      <w:r>
        <w:rPr>
          <w:rFonts w:hint="eastAsia"/>
          <w:highlight w:val="none"/>
        </w:rPr>
        <w:t>量未达到法定家数的，采购代理机构将按法律法规的规定暂停</w:t>
      </w:r>
      <w:r>
        <w:rPr>
          <w:highlight w:val="none"/>
        </w:rPr>
        <w:t>开标和评标程序</w:t>
      </w:r>
      <w:r>
        <w:rPr>
          <w:rFonts w:hint="eastAsia"/>
          <w:highlight w:val="none"/>
        </w:rPr>
        <w:t>。如导致招标失败，采购人或采购代理机构将不负担因此给</w:t>
      </w:r>
      <w:r>
        <w:rPr>
          <w:highlight w:val="none"/>
        </w:rPr>
        <w:t>投标人</w:t>
      </w:r>
      <w:r>
        <w:rPr>
          <w:rFonts w:hint="eastAsia"/>
          <w:highlight w:val="none"/>
        </w:rPr>
        <w:t>造成的损失。</w:t>
      </w:r>
    </w:p>
    <w:p>
      <w:pPr>
        <w:tabs>
          <w:tab w:val="clear" w:pos="426"/>
        </w:tabs>
        <w:rPr>
          <w:highlight w:val="none"/>
        </w:rPr>
      </w:pPr>
      <w:bookmarkStart w:id="271" w:name="_Toc148779955"/>
      <w:bookmarkStart w:id="272" w:name="_Toc98817937"/>
      <w:bookmarkStart w:id="273" w:name="_Toc201401578"/>
      <w:bookmarkStart w:id="274" w:name="_Toc148780241"/>
      <w:bookmarkStart w:id="275" w:name="_Toc148778160"/>
      <w:bookmarkStart w:id="276" w:name="_Toc143658458"/>
      <w:bookmarkStart w:id="277" w:name="_Toc188869283"/>
      <w:bookmarkStart w:id="278" w:name="_Toc148329804"/>
      <w:bookmarkStart w:id="279" w:name="_Toc187729583"/>
      <w:bookmarkStart w:id="280" w:name="_Toc148413303"/>
      <w:bookmarkStart w:id="281" w:name="_Toc201401386"/>
      <w:bookmarkStart w:id="282" w:name="_Toc163530305"/>
      <w:bookmarkStart w:id="283" w:name="_Toc157847823"/>
      <w:bookmarkStart w:id="284" w:name="_Toc148954862"/>
      <w:bookmarkStart w:id="285" w:name="_Toc201997837"/>
      <w:bookmarkStart w:id="286" w:name="_Toc135666818"/>
      <w:bookmarkStart w:id="287" w:name="_Toc148954467"/>
      <w:bookmarkStart w:id="288" w:name="_Toc134852024"/>
      <w:bookmarkStart w:id="289" w:name="_Toc135666631"/>
      <w:r>
        <w:rPr>
          <w:rFonts w:hint="eastAsia"/>
          <w:highlight w:val="none"/>
        </w:rPr>
        <w:t>28．  投标文件的修改或撤回</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pPr>
        <w:tabs>
          <w:tab w:val="clear" w:pos="426"/>
        </w:tabs>
        <w:rPr>
          <w:highlight w:val="none"/>
        </w:rPr>
      </w:pPr>
      <w:r>
        <w:rPr>
          <w:rFonts w:hint="eastAsia"/>
          <w:highlight w:val="none"/>
        </w:rPr>
        <w:t>28.1  投标人已提交投标文件，规定的投标</w:t>
      </w:r>
      <w:r>
        <w:rPr>
          <w:highlight w:val="none"/>
        </w:rPr>
        <w:t>截止</w:t>
      </w:r>
      <w:r>
        <w:rPr>
          <w:rFonts w:hint="eastAsia"/>
          <w:highlight w:val="none"/>
        </w:rPr>
        <w:t>时间还未到，投标人可提出对其投标文件的修改或撤回。投标人须提交由投标人代表签名的修改或撤回的书面通知。</w:t>
      </w:r>
    </w:p>
    <w:p>
      <w:pPr>
        <w:tabs>
          <w:tab w:val="clear" w:pos="426"/>
        </w:tabs>
        <w:rPr>
          <w:highlight w:val="none"/>
        </w:rPr>
      </w:pPr>
      <w:r>
        <w:rPr>
          <w:rFonts w:hint="eastAsia"/>
          <w:highlight w:val="none"/>
        </w:rPr>
        <w:t>28.2  采购代理机构收到由投标人代表签名的修改或撤回的书面通知并确认后，投标人可对其投标文件进行修改，或是撤回其投标。</w:t>
      </w:r>
    </w:p>
    <w:p>
      <w:pPr>
        <w:tabs>
          <w:tab w:val="clear" w:pos="426"/>
        </w:tabs>
        <w:rPr>
          <w:highlight w:val="none"/>
        </w:rPr>
      </w:pPr>
      <w:bookmarkStart w:id="290" w:name="_Toc188869284"/>
      <w:r>
        <w:rPr>
          <w:rFonts w:hint="eastAsia"/>
          <w:highlight w:val="none"/>
        </w:rPr>
        <w:t>28.3  投标人的修改文件应按照本招标文件的规定进行编制、密封、标记和提交，并在密封袋上注明“投标修改”。</w:t>
      </w:r>
    </w:p>
    <w:p>
      <w:pPr>
        <w:tabs>
          <w:tab w:val="clear" w:pos="426"/>
        </w:tabs>
        <w:rPr>
          <w:highlight w:val="none"/>
        </w:rPr>
      </w:pPr>
      <w:r>
        <w:rPr>
          <w:rFonts w:hint="eastAsia"/>
          <w:highlight w:val="none"/>
        </w:rPr>
        <w:t>28.4  投标截止时间之后至投标文件有效期终止之前，投标人不得要求撤回其投标。在此期间撤回投标的，其投标担保将会被没收。</w:t>
      </w:r>
    </w:p>
    <w:p>
      <w:pPr>
        <w:tabs>
          <w:tab w:val="clear" w:pos="426"/>
        </w:tabs>
        <w:rPr>
          <w:highlight w:val="none"/>
        </w:rPr>
      </w:pPr>
      <w:r>
        <w:rPr>
          <w:rFonts w:hint="eastAsia"/>
          <w:highlight w:val="none"/>
        </w:rPr>
        <w:t>28.5  评标结束后，不论中标与否，投标人均不得收回投标文件。</w:t>
      </w:r>
    </w:p>
    <w:bookmarkEnd w:id="290"/>
    <w:p>
      <w:pPr>
        <w:pStyle w:val="5"/>
        <w:tabs>
          <w:tab w:val="clear" w:pos="426"/>
        </w:tabs>
        <w:rPr>
          <w:highlight w:val="none"/>
        </w:rPr>
      </w:pPr>
      <w:bookmarkStart w:id="291" w:name="_Toc5875397"/>
      <w:bookmarkStart w:id="292" w:name="_Toc398220532"/>
      <w:bookmarkStart w:id="293" w:name="_Toc432592824"/>
      <w:bookmarkStart w:id="294" w:name="_Toc31160"/>
      <w:r>
        <w:rPr>
          <w:rFonts w:hint="eastAsia"/>
          <w:highlight w:val="none"/>
        </w:rPr>
        <w:t>第四章 开标</w:t>
      </w:r>
      <w:bookmarkEnd w:id="246"/>
      <w:bookmarkEnd w:id="247"/>
      <w:bookmarkEnd w:id="248"/>
      <w:bookmarkEnd w:id="249"/>
      <w:bookmarkEnd w:id="250"/>
      <w:bookmarkEnd w:id="251"/>
      <w:bookmarkEnd w:id="291"/>
      <w:bookmarkEnd w:id="292"/>
      <w:bookmarkEnd w:id="293"/>
      <w:bookmarkEnd w:id="294"/>
    </w:p>
    <w:p>
      <w:pPr>
        <w:tabs>
          <w:tab w:val="clear" w:pos="426"/>
        </w:tabs>
        <w:rPr>
          <w:highlight w:val="none"/>
        </w:rPr>
      </w:pPr>
      <w:bookmarkStart w:id="295" w:name="_Toc201997841"/>
      <w:bookmarkStart w:id="296" w:name="_Toc201401580"/>
      <w:bookmarkStart w:id="297" w:name="_Toc201401388"/>
      <w:bookmarkStart w:id="298" w:name="_Toc135666633"/>
      <w:bookmarkStart w:id="299" w:name="_Toc135666820"/>
      <w:bookmarkStart w:id="300" w:name="_Toc148413305"/>
      <w:bookmarkStart w:id="301" w:name="_Toc98817939"/>
      <w:bookmarkStart w:id="302" w:name="_Toc187729585"/>
      <w:bookmarkStart w:id="303" w:name="_Toc148778162"/>
      <w:bookmarkStart w:id="304" w:name="_Toc148954469"/>
      <w:bookmarkStart w:id="305" w:name="_Toc148954864"/>
      <w:bookmarkStart w:id="306" w:name="_Toc148779957"/>
      <w:bookmarkStart w:id="307" w:name="_Toc188869286"/>
      <w:bookmarkStart w:id="308" w:name="_Toc143658460"/>
      <w:bookmarkStart w:id="309" w:name="_Toc163530307"/>
      <w:bookmarkStart w:id="310" w:name="_Toc134852027"/>
      <w:bookmarkStart w:id="311" w:name="_Toc157847825"/>
      <w:bookmarkStart w:id="312" w:name="_Toc148780243"/>
      <w:bookmarkStart w:id="313" w:name="_Toc148329806"/>
      <w:bookmarkStart w:id="314" w:name="_Toc73521576"/>
      <w:bookmarkStart w:id="315" w:name="_Toc73517668"/>
      <w:bookmarkStart w:id="316" w:name="_Toc73521664"/>
      <w:bookmarkStart w:id="317" w:name="_Toc73518146"/>
      <w:bookmarkStart w:id="318" w:name="_Toc101074882"/>
      <w:bookmarkStart w:id="319" w:name="_Toc100052393"/>
      <w:r>
        <w:rPr>
          <w:rFonts w:hint="eastAsia"/>
          <w:highlight w:val="none"/>
        </w:rPr>
        <w:t>29．　开标</w:t>
      </w:r>
      <w:bookmarkEnd w:id="295"/>
      <w:bookmarkEnd w:id="296"/>
      <w:bookmarkEnd w:id="297"/>
    </w:p>
    <w:p>
      <w:pPr>
        <w:tabs>
          <w:tab w:val="clear" w:pos="426"/>
        </w:tabs>
        <w:rPr>
          <w:highlight w:val="none"/>
        </w:rPr>
      </w:pPr>
      <w:bookmarkStart w:id="320" w:name="_Toc201401581"/>
      <w:bookmarkStart w:id="321" w:name="_Toc201997842"/>
      <w:bookmarkStart w:id="322" w:name="_Toc201401389"/>
      <w:r>
        <w:rPr>
          <w:rFonts w:hint="eastAsia"/>
          <w:highlight w:val="none"/>
        </w:rPr>
        <w:t>29.1  采购人在“投标须知前附表”中规定的时间、地点组织公开开标。邀请所有投标人代表参加。不参加开标会的投标人，视为其认可开标程序和结果。</w:t>
      </w:r>
      <w:bookmarkEnd w:id="320"/>
      <w:bookmarkEnd w:id="321"/>
      <w:bookmarkEnd w:id="322"/>
    </w:p>
    <w:p>
      <w:pPr>
        <w:tabs>
          <w:tab w:val="clear" w:pos="426"/>
        </w:tabs>
        <w:rPr>
          <w:highlight w:val="none"/>
        </w:rPr>
      </w:pPr>
      <w:bookmarkStart w:id="323" w:name="_Toc201401582"/>
      <w:bookmarkStart w:id="324" w:name="_Toc201401390"/>
      <w:bookmarkStart w:id="325" w:name="_Toc201997843"/>
      <w:r>
        <w:rPr>
          <w:rFonts w:hint="eastAsia"/>
          <w:highlight w:val="none"/>
        </w:rPr>
        <w:t>29.2  参加开标会议的投标人只委派一名代表，且必须是本单位法定代表人或授权代表，参加会议人员须提供相应的授权委托书。</w:t>
      </w:r>
    </w:p>
    <w:bookmarkEnd w:id="323"/>
    <w:bookmarkEnd w:id="324"/>
    <w:bookmarkEnd w:id="325"/>
    <w:p>
      <w:pPr>
        <w:tabs>
          <w:tab w:val="clear" w:pos="426"/>
        </w:tabs>
        <w:rPr>
          <w:highlight w:val="none"/>
        </w:rPr>
      </w:pPr>
      <w:r>
        <w:rPr>
          <w:rFonts w:hint="eastAsia"/>
          <w:highlight w:val="none"/>
        </w:rPr>
        <w:t>29.3  开标会由采购代理机构主持，开标程序如下：</w:t>
      </w:r>
    </w:p>
    <w:p>
      <w:pPr>
        <w:tabs>
          <w:tab w:val="clear" w:pos="426"/>
        </w:tabs>
        <w:rPr>
          <w:highlight w:val="none"/>
        </w:rPr>
      </w:pPr>
      <w:r>
        <w:rPr>
          <w:rFonts w:hint="eastAsia"/>
          <w:highlight w:val="none"/>
        </w:rPr>
        <w:t xml:space="preserve">29.3.1采购代理机构核对法人代表或其授权代表身份证明，若不能提供相应的身份证明或不相符，则不能参与开标会议； </w:t>
      </w:r>
    </w:p>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Pr>
        <w:tabs>
          <w:tab w:val="clear" w:pos="426"/>
        </w:tabs>
        <w:rPr>
          <w:color w:val="000000"/>
          <w:szCs w:val="21"/>
          <w:highlight w:val="none"/>
        </w:rPr>
      </w:pPr>
      <w:r>
        <w:rPr>
          <w:rFonts w:hint="eastAsia"/>
          <w:color w:val="000000"/>
          <w:szCs w:val="21"/>
          <w:highlight w:val="none"/>
        </w:rPr>
        <w:t>29.3.2  采购代理机构将按“采购公告”规定的时间和地点组织公开开标。投标人应委派代表参加，参加开标的代表应签名报到以证明出席。</w:t>
      </w:r>
    </w:p>
    <w:p>
      <w:pPr>
        <w:tabs>
          <w:tab w:val="clear" w:pos="426"/>
        </w:tabs>
        <w:rPr>
          <w:color w:val="000000"/>
          <w:szCs w:val="21"/>
          <w:highlight w:val="none"/>
        </w:rPr>
      </w:pPr>
      <w:r>
        <w:rPr>
          <w:rFonts w:hint="eastAsia"/>
          <w:color w:val="000000"/>
          <w:szCs w:val="21"/>
          <w:highlight w:val="none"/>
        </w:rPr>
        <w:t>29.3.3  开标时，采购代理机构将当众宣读投标人名称、修改和撤回投标的通知、开标一览表（以招标文件规定的开标一览表内容为准）。投标文件中开标一览表内容与投标报价明细表内容不一致的，以开标一览表为准。</w:t>
      </w:r>
    </w:p>
    <w:p>
      <w:pPr>
        <w:tabs>
          <w:tab w:val="clear" w:pos="426"/>
        </w:tabs>
        <w:ind w:firstLine="411" w:firstLineChars="196"/>
        <w:rPr>
          <w:color w:val="000000"/>
          <w:szCs w:val="21"/>
          <w:highlight w:val="none"/>
        </w:rPr>
      </w:pPr>
      <w:r>
        <w:rPr>
          <w:rFonts w:hint="eastAsia"/>
          <w:color w:val="000000"/>
          <w:szCs w:val="21"/>
          <w:highlight w:val="none"/>
        </w:rPr>
        <w:t>除了按照本通用条款第26条规定原封退回的投标之外，开标时将不得拒绝任何投标书。</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.3</w:t>
      </w:r>
      <w:r>
        <w:rPr>
          <w:rFonts w:hint="eastAsia"/>
          <w:color w:val="000000"/>
          <w:szCs w:val="21"/>
          <w:highlight w:val="none"/>
        </w:rPr>
        <w:t>.4开标时，采购代理机构仅拆封开标信封。如投标人未单独密封包装开标信封，采购代理机构有权拆封投标文件。</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3.5按照投标人须知第</w:t>
      </w:r>
      <w:r>
        <w:rPr>
          <w:color w:val="000000"/>
          <w:szCs w:val="21"/>
          <w:highlight w:val="none"/>
        </w:rPr>
        <w:t>2</w:t>
      </w:r>
      <w:r>
        <w:rPr>
          <w:rFonts w:hint="eastAsia"/>
          <w:color w:val="000000"/>
          <w:szCs w:val="21"/>
          <w:highlight w:val="none"/>
        </w:rPr>
        <w:t>8条规定，提交了可接受的“撤回”通知的投标将不予开封。</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3.6无论如何在开标时没有启封和读出的投标书在评标时将不予考虑。撤回的投标书将原封退回投标人。</w:t>
      </w:r>
    </w:p>
    <w:p>
      <w:pPr>
        <w:tabs>
          <w:tab w:val="clear" w:pos="426"/>
        </w:tabs>
        <w:rPr>
          <w:color w:val="000000"/>
          <w:szCs w:val="21"/>
          <w:highlight w:val="none"/>
        </w:rPr>
      </w:pPr>
      <w:r>
        <w:rPr>
          <w:color w:val="000000"/>
          <w:szCs w:val="21"/>
          <w:highlight w:val="none"/>
        </w:rPr>
        <w:t>2</w:t>
      </w:r>
      <w:r>
        <w:rPr>
          <w:rFonts w:hint="eastAsia"/>
          <w:color w:val="000000"/>
          <w:szCs w:val="21"/>
          <w:highlight w:val="none"/>
        </w:rPr>
        <w:t>9.3.7采购代理机构将做开标记录，开标记录包括按本通用条款第</w:t>
      </w:r>
      <w:r>
        <w:rPr>
          <w:color w:val="000000"/>
          <w:szCs w:val="21"/>
          <w:highlight w:val="none"/>
        </w:rPr>
        <w:t>2</w:t>
      </w:r>
      <w:r>
        <w:rPr>
          <w:rFonts w:hint="eastAsia"/>
          <w:color w:val="000000"/>
          <w:szCs w:val="21"/>
          <w:highlight w:val="none"/>
        </w:rPr>
        <w:t>9</w:t>
      </w:r>
      <w:r>
        <w:rPr>
          <w:color w:val="000000"/>
          <w:szCs w:val="21"/>
          <w:highlight w:val="none"/>
        </w:rPr>
        <w:t>.</w:t>
      </w:r>
      <w:r>
        <w:rPr>
          <w:rFonts w:hint="eastAsia"/>
          <w:color w:val="000000"/>
          <w:szCs w:val="21"/>
          <w:highlight w:val="none"/>
        </w:rPr>
        <w:t>3.3的规定在开标时宣读的全部内容。</w:t>
      </w:r>
    </w:p>
    <w:p>
      <w:pPr>
        <w:tabs>
          <w:tab w:val="clear" w:pos="426"/>
        </w:tabs>
        <w:rPr>
          <w:highlight w:val="none"/>
        </w:rPr>
      </w:pPr>
      <w:r>
        <w:rPr>
          <w:rFonts w:hint="eastAsia"/>
          <w:highlight w:val="none"/>
        </w:rPr>
        <w:t>29.3.8 供应商在开标过程中知道或者应知其权益受到损害时必须现场明确提出，未明确提出的，即视为认可开标结果。</w:t>
      </w:r>
    </w:p>
    <w:p>
      <w:pPr>
        <w:pStyle w:val="5"/>
        <w:tabs>
          <w:tab w:val="clear" w:pos="426"/>
        </w:tabs>
        <w:rPr>
          <w:highlight w:val="none"/>
        </w:rPr>
      </w:pPr>
      <w:bookmarkStart w:id="326" w:name="_Toc398220533"/>
      <w:bookmarkStart w:id="327" w:name="_Toc432592825"/>
      <w:bookmarkStart w:id="328" w:name="_Toc5875398"/>
      <w:bookmarkStart w:id="329" w:name="_Toc15717"/>
      <w:r>
        <w:rPr>
          <w:rFonts w:hint="eastAsia"/>
          <w:highlight w:val="none"/>
        </w:rPr>
        <w:t>第五章 评标</w:t>
      </w:r>
      <w:bookmarkEnd w:id="314"/>
      <w:bookmarkEnd w:id="315"/>
      <w:bookmarkEnd w:id="316"/>
      <w:bookmarkEnd w:id="317"/>
      <w:r>
        <w:rPr>
          <w:rFonts w:hint="eastAsia"/>
          <w:highlight w:val="none"/>
        </w:rPr>
        <w:t>要求</w:t>
      </w:r>
      <w:bookmarkEnd w:id="318"/>
      <w:bookmarkEnd w:id="319"/>
      <w:bookmarkEnd w:id="326"/>
      <w:bookmarkEnd w:id="327"/>
      <w:bookmarkEnd w:id="328"/>
      <w:bookmarkEnd w:id="329"/>
    </w:p>
    <w:p>
      <w:pPr>
        <w:tabs>
          <w:tab w:val="clear" w:pos="426"/>
        </w:tabs>
        <w:rPr>
          <w:highlight w:val="none"/>
        </w:rPr>
      </w:pPr>
      <w:bookmarkStart w:id="330" w:name="bt评标会议"/>
      <w:bookmarkEnd w:id="330"/>
      <w:bookmarkStart w:id="331" w:name="_Toc73517669"/>
      <w:bookmarkStart w:id="332" w:name="_Toc73521577"/>
      <w:bookmarkStart w:id="333" w:name="_Toc100052394"/>
      <w:bookmarkStart w:id="334" w:name="_Toc73521665"/>
      <w:bookmarkStart w:id="335" w:name="_Toc73518147"/>
      <w:r>
        <w:rPr>
          <w:rFonts w:hint="eastAsia"/>
          <w:highlight w:val="none"/>
        </w:rPr>
        <w:t>30．评标委员会组成</w:t>
      </w:r>
    </w:p>
    <w:p>
      <w:pPr>
        <w:tabs>
          <w:tab w:val="clear" w:pos="426"/>
        </w:tabs>
        <w:rPr>
          <w:highlight w:val="none"/>
        </w:rPr>
      </w:pPr>
      <w:r>
        <w:rPr>
          <w:rFonts w:hint="eastAsia"/>
          <w:highlight w:val="none"/>
        </w:rPr>
        <w:t>30.1开标结束后召开评标会议，评标委员会由采购代理机构依法组建，负责评标活动。</w:t>
      </w:r>
    </w:p>
    <w:p>
      <w:pPr>
        <w:tabs>
          <w:tab w:val="clear" w:pos="426"/>
        </w:tabs>
        <w:rPr>
          <w:highlight w:val="none"/>
        </w:rPr>
      </w:pPr>
      <w:r>
        <w:rPr>
          <w:rFonts w:hint="eastAsia"/>
          <w:highlight w:val="none"/>
        </w:rPr>
        <w:t>评标委员会的组成及行为规范执行《关于印发</w:t>
      </w:r>
      <w:r>
        <w:rPr>
          <w:highlight w:val="none"/>
        </w:rPr>
        <w:t>&lt;</w:t>
      </w:r>
      <w:r>
        <w:rPr>
          <w:rFonts w:hint="eastAsia"/>
          <w:highlight w:val="none"/>
        </w:rPr>
        <w:t>深圳市政府采购评标委员会和评标方法暂行规定</w:t>
      </w:r>
      <w:r>
        <w:rPr>
          <w:highlight w:val="none"/>
        </w:rPr>
        <w:t>&gt;</w:t>
      </w:r>
      <w:r>
        <w:rPr>
          <w:rFonts w:hint="eastAsia"/>
          <w:highlight w:val="none"/>
        </w:rPr>
        <w:t>的通知》</w:t>
      </w:r>
      <w:r>
        <w:rPr>
          <w:highlight w:val="none"/>
        </w:rPr>
        <w:t>(</w:t>
      </w:r>
      <w:r>
        <w:rPr>
          <w:rFonts w:hint="eastAsia"/>
          <w:highlight w:val="none"/>
        </w:rPr>
        <w:t>深财购</w:t>
      </w:r>
      <w:r>
        <w:rPr>
          <w:highlight w:val="none"/>
        </w:rPr>
        <w:t>[2005]5</w:t>
      </w:r>
      <w:r>
        <w:rPr>
          <w:rFonts w:hint="eastAsia"/>
          <w:highlight w:val="none"/>
        </w:rPr>
        <w:t>号</w:t>
      </w:r>
      <w:r>
        <w:rPr>
          <w:highlight w:val="none"/>
        </w:rPr>
        <w:t>)</w:t>
      </w:r>
      <w:r>
        <w:rPr>
          <w:rFonts w:hint="eastAsia"/>
          <w:highlight w:val="none"/>
        </w:rPr>
        <w:t>，评标委员会由采购单位代表和有关技术、经济等方面的专家组成，成员人数为</w:t>
      </w:r>
      <w:r>
        <w:rPr>
          <w:highlight w:val="none"/>
        </w:rPr>
        <w:t>5</w:t>
      </w:r>
      <w:r>
        <w:rPr>
          <w:rFonts w:hint="eastAsia"/>
          <w:highlight w:val="none"/>
        </w:rPr>
        <w:t>人以上（含</w:t>
      </w:r>
      <w:r>
        <w:rPr>
          <w:highlight w:val="none"/>
        </w:rPr>
        <w:t>5</w:t>
      </w:r>
      <w:r>
        <w:rPr>
          <w:rFonts w:hint="eastAsia"/>
          <w:highlight w:val="none"/>
        </w:rPr>
        <w:t>人）单数，其中技术、经济等方面的专家不少于成员总数的三分之二。</w:t>
      </w:r>
    </w:p>
    <w:p>
      <w:pPr>
        <w:tabs>
          <w:tab w:val="clear" w:pos="426"/>
        </w:tabs>
        <w:rPr>
          <w:highlight w:val="none"/>
        </w:rPr>
      </w:pPr>
      <w:r>
        <w:rPr>
          <w:rFonts w:hint="eastAsia"/>
          <w:highlight w:val="none"/>
        </w:rPr>
        <w:t>为保证评委人选的专业性，以及评标中的公平公正性，评标委员会成员从深圳市财政委员会评标专家库中随机抽取。</w:t>
      </w:r>
    </w:p>
    <w:p>
      <w:pPr>
        <w:tabs>
          <w:tab w:val="clear" w:pos="426"/>
        </w:tabs>
        <w:rPr>
          <w:highlight w:val="none"/>
        </w:rPr>
      </w:pPr>
      <w:r>
        <w:rPr>
          <w:rFonts w:hint="eastAsia"/>
          <w:highlight w:val="none"/>
        </w:rPr>
        <w:t>采购单位代表须持本单位签发的《评标授权书》参加评标。</w:t>
      </w:r>
    </w:p>
    <w:p>
      <w:pPr>
        <w:tabs>
          <w:tab w:val="clear" w:pos="426"/>
        </w:tabs>
        <w:rPr>
          <w:highlight w:val="none"/>
        </w:rPr>
      </w:pPr>
      <w:r>
        <w:rPr>
          <w:rFonts w:hint="eastAsia"/>
          <w:highlight w:val="none"/>
        </w:rPr>
        <w:t>采购单位无代表参与评标，应在开标前一天提交《采购单位不派评委参与项目评标承诺书》给采购代理机构。</w:t>
      </w:r>
    </w:p>
    <w:p>
      <w:pPr>
        <w:tabs>
          <w:tab w:val="clear" w:pos="426"/>
        </w:tabs>
        <w:rPr>
          <w:sz w:val="24"/>
          <w:highlight w:val="none"/>
        </w:rPr>
      </w:pPr>
      <w:r>
        <w:rPr>
          <w:rFonts w:hint="eastAsia"/>
          <w:highlight w:val="none"/>
        </w:rPr>
        <w:t>注：《评标授权书》《采购单位不派评委参与项目评标承诺书》模板可以从“深圳市政府采购中心网站”（</w:t>
      </w:r>
      <w:r>
        <w:rPr>
          <w:highlight w:val="none"/>
        </w:rPr>
        <w:t>http://</w:t>
      </w:r>
      <w:r>
        <w:rPr>
          <w:rFonts w:hint="eastAsia"/>
          <w:highlight w:val="none"/>
        </w:rPr>
        <w:t>www</w:t>
      </w:r>
      <w:r>
        <w:rPr>
          <w:highlight w:val="none"/>
        </w:rPr>
        <w:t>.szzfcg.cn/</w:t>
      </w:r>
      <w:r>
        <w:rPr>
          <w:rFonts w:hint="eastAsia"/>
          <w:highlight w:val="none"/>
        </w:rPr>
        <w:t>）采购单位页面下“采购”环节“通用表格”处下载</w:t>
      </w:r>
      <w:r>
        <w:rPr>
          <w:rFonts w:hint="eastAsia"/>
          <w:sz w:val="24"/>
          <w:highlight w:val="none"/>
        </w:rPr>
        <w:t>。</w:t>
      </w:r>
    </w:p>
    <w:p>
      <w:pPr>
        <w:tabs>
          <w:tab w:val="clear" w:pos="426"/>
        </w:tabs>
        <w:rPr>
          <w:highlight w:val="none"/>
        </w:rPr>
      </w:pPr>
      <w:r>
        <w:rPr>
          <w:rFonts w:hint="eastAsia"/>
          <w:highlight w:val="none"/>
        </w:rPr>
        <w:t>30.2评标定标应当遵循公平、公正、科学、择优的原则。</w:t>
      </w:r>
    </w:p>
    <w:p>
      <w:pPr>
        <w:tabs>
          <w:tab w:val="clear" w:pos="426"/>
        </w:tabs>
        <w:rPr>
          <w:highlight w:val="none"/>
        </w:rPr>
      </w:pPr>
      <w:r>
        <w:rPr>
          <w:rFonts w:hint="eastAsia"/>
          <w:highlight w:val="none"/>
        </w:rPr>
        <w:t>30.3评标活动依法进行，任何单位和个人不得非法干预评标过程和结果。</w:t>
      </w:r>
    </w:p>
    <w:p>
      <w:pPr>
        <w:tabs>
          <w:tab w:val="clear" w:pos="426"/>
        </w:tabs>
        <w:rPr>
          <w:highlight w:val="none"/>
        </w:rPr>
      </w:pPr>
      <w:r>
        <w:rPr>
          <w:rFonts w:hint="eastAsia"/>
          <w:highlight w:val="none"/>
        </w:rPr>
        <w:t>30.4评标过程中不允许违背评标程序或采用招标文件未载明的评标方法或评标因素进行评标。</w:t>
      </w:r>
    </w:p>
    <w:p>
      <w:pPr>
        <w:tabs>
          <w:tab w:val="clear" w:pos="426"/>
        </w:tabs>
        <w:rPr>
          <w:highlight w:val="none"/>
        </w:rPr>
      </w:pPr>
      <w:r>
        <w:rPr>
          <w:rFonts w:hint="eastAsia"/>
          <w:highlight w:val="none"/>
        </w:rPr>
        <w:t>30.5 开标后，直到授予中标人合同为止，凡属于对投标文件的审查、澄清、评价和比较的有关资料以及中标候选人的推荐情况、与评标有关的其他任何情况均严格保密。</w:t>
      </w:r>
    </w:p>
    <w:p>
      <w:pPr>
        <w:tabs>
          <w:tab w:val="clear" w:pos="426"/>
        </w:tabs>
        <w:rPr>
          <w:highlight w:val="none"/>
        </w:rPr>
      </w:pPr>
      <w:r>
        <w:rPr>
          <w:rFonts w:hint="eastAsia"/>
          <w:highlight w:val="none"/>
        </w:rPr>
        <w:t>31．向评标委员会提供的资料</w:t>
      </w:r>
    </w:p>
    <w:p>
      <w:pPr>
        <w:tabs>
          <w:tab w:val="clear" w:pos="426"/>
        </w:tabs>
        <w:rPr>
          <w:highlight w:val="none"/>
        </w:rPr>
      </w:pPr>
      <w:r>
        <w:rPr>
          <w:rFonts w:hint="eastAsia"/>
          <w:highlight w:val="none"/>
        </w:rPr>
        <w:t>31.1公开发布的招标文件，包括图纸、服务清单、答疑文件等；</w:t>
      </w:r>
    </w:p>
    <w:p>
      <w:pPr>
        <w:tabs>
          <w:tab w:val="clear" w:pos="426"/>
        </w:tabs>
        <w:rPr>
          <w:highlight w:val="none"/>
        </w:rPr>
      </w:pPr>
      <w:r>
        <w:rPr>
          <w:rFonts w:hint="eastAsia"/>
          <w:highlight w:val="none"/>
        </w:rPr>
        <w:t>31.2其他评标必须的资料。</w:t>
      </w:r>
    </w:p>
    <w:p>
      <w:pPr>
        <w:tabs>
          <w:tab w:val="clear" w:pos="426"/>
        </w:tabs>
        <w:rPr>
          <w:highlight w:val="none"/>
        </w:rPr>
      </w:pPr>
      <w:r>
        <w:rPr>
          <w:rFonts w:hint="eastAsia"/>
          <w:highlight w:val="none"/>
        </w:rPr>
        <w:t>31.3评标委员会应当认真研究招标文件，至少应了解熟悉以下内容：</w:t>
      </w:r>
    </w:p>
    <w:p>
      <w:pPr>
        <w:tabs>
          <w:tab w:val="clear" w:pos="426"/>
        </w:tabs>
        <w:rPr>
          <w:highlight w:val="none"/>
        </w:rPr>
      </w:pPr>
      <w:r>
        <w:rPr>
          <w:rFonts w:hint="eastAsia"/>
          <w:highlight w:val="none"/>
        </w:rPr>
        <w:t>（1）招标的目的；</w:t>
      </w:r>
    </w:p>
    <w:p>
      <w:pPr>
        <w:tabs>
          <w:tab w:val="clear" w:pos="426"/>
        </w:tabs>
        <w:rPr>
          <w:highlight w:val="none"/>
        </w:rPr>
      </w:pPr>
      <w:r>
        <w:rPr>
          <w:rFonts w:hint="eastAsia"/>
          <w:highlight w:val="none"/>
        </w:rPr>
        <w:t>（2）招标项目需求的范围和性质；</w:t>
      </w:r>
    </w:p>
    <w:p>
      <w:pPr>
        <w:tabs>
          <w:tab w:val="clear" w:pos="426"/>
        </w:tabs>
        <w:rPr>
          <w:highlight w:val="none"/>
        </w:rPr>
      </w:pPr>
      <w:r>
        <w:rPr>
          <w:rFonts w:hint="eastAsia"/>
          <w:highlight w:val="none"/>
        </w:rPr>
        <w:t>（3）招标文件规定的投标人的资格、财政预算限额、商务条款；</w:t>
      </w:r>
    </w:p>
    <w:p>
      <w:pPr>
        <w:tabs>
          <w:tab w:val="clear" w:pos="426"/>
        </w:tabs>
        <w:rPr>
          <w:highlight w:val="none"/>
        </w:rPr>
      </w:pPr>
      <w:r>
        <w:rPr>
          <w:rFonts w:hint="eastAsia"/>
          <w:highlight w:val="none"/>
        </w:rPr>
        <w:t>（4）招标文件规定的评标程序、评标方法和评标因素；</w:t>
      </w:r>
    </w:p>
    <w:p>
      <w:pPr>
        <w:tabs>
          <w:tab w:val="clear" w:pos="426"/>
        </w:tabs>
        <w:rPr>
          <w:highlight w:val="none"/>
        </w:rPr>
      </w:pPr>
      <w:r>
        <w:rPr>
          <w:rFonts w:hint="eastAsia"/>
          <w:highlight w:val="none"/>
        </w:rPr>
        <w:t>（5）招标文件所列示的投标文件“资格、符合性评审条款”。</w:t>
      </w:r>
    </w:p>
    <w:p>
      <w:pPr>
        <w:tabs>
          <w:tab w:val="clear" w:pos="426"/>
        </w:tabs>
        <w:rPr>
          <w:highlight w:val="none"/>
        </w:rPr>
      </w:pPr>
      <w:r>
        <w:rPr>
          <w:rFonts w:hint="eastAsia"/>
          <w:highlight w:val="none"/>
        </w:rPr>
        <w:t>32．独立评标</w:t>
      </w:r>
    </w:p>
    <w:p>
      <w:pPr>
        <w:tabs>
          <w:tab w:val="clear" w:pos="426"/>
        </w:tabs>
        <w:rPr>
          <w:szCs w:val="21"/>
          <w:highlight w:val="none"/>
        </w:rPr>
      </w:pPr>
      <w:r>
        <w:rPr>
          <w:rFonts w:hint="eastAsia"/>
          <w:highlight w:val="none"/>
        </w:rPr>
        <w:t>32.1评标委员会成员的评标活动应当独立进行，并应遵循投标文件初审、澄清有关问题、比较与评价、确定中标候选供应商、编写评标报告的工作程序。</w:t>
      </w:r>
      <w:bookmarkEnd w:id="331"/>
      <w:bookmarkEnd w:id="332"/>
      <w:bookmarkEnd w:id="333"/>
      <w:bookmarkEnd w:id="334"/>
      <w:bookmarkEnd w:id="335"/>
      <w:bookmarkStart w:id="336" w:name="bt错误的修正"/>
      <w:bookmarkEnd w:id="336"/>
      <w:bookmarkStart w:id="337" w:name="bt评标过程的保密"/>
      <w:bookmarkEnd w:id="337"/>
    </w:p>
    <w:p>
      <w:pPr>
        <w:pStyle w:val="5"/>
        <w:tabs>
          <w:tab w:val="clear" w:pos="426"/>
        </w:tabs>
        <w:rPr>
          <w:highlight w:val="none"/>
        </w:rPr>
      </w:pPr>
      <w:bookmarkStart w:id="338" w:name="_Toc398220534"/>
      <w:bookmarkStart w:id="339" w:name="_Toc100052397"/>
      <w:bookmarkStart w:id="340" w:name="_Toc432592826"/>
      <w:bookmarkStart w:id="341" w:name="_Toc101074883"/>
      <w:bookmarkStart w:id="342" w:name="_Toc5875399"/>
      <w:bookmarkStart w:id="343" w:name="_Toc5201"/>
      <w:r>
        <w:rPr>
          <w:rFonts w:hint="eastAsia"/>
          <w:highlight w:val="none"/>
        </w:rPr>
        <w:t>第六章 评标程序</w:t>
      </w:r>
      <w:bookmarkStart w:id="344" w:name="bt投标文件的审查"/>
      <w:bookmarkEnd w:id="344"/>
      <w:bookmarkStart w:id="345" w:name="_Toc73521667"/>
      <w:bookmarkStart w:id="346" w:name="_Toc73521579"/>
      <w:bookmarkStart w:id="347" w:name="_Toc73517671"/>
      <w:bookmarkStart w:id="348" w:name="_Toc73518149"/>
      <w:r>
        <w:rPr>
          <w:rFonts w:hint="eastAsia"/>
          <w:highlight w:val="none"/>
        </w:rPr>
        <w:t>及评标方法</w:t>
      </w:r>
      <w:bookmarkEnd w:id="338"/>
      <w:bookmarkEnd w:id="339"/>
      <w:bookmarkEnd w:id="340"/>
      <w:bookmarkEnd w:id="341"/>
      <w:bookmarkEnd w:id="342"/>
      <w:bookmarkEnd w:id="343"/>
    </w:p>
    <w:p>
      <w:pPr>
        <w:tabs>
          <w:tab w:val="clear" w:pos="426"/>
        </w:tabs>
        <w:rPr>
          <w:highlight w:val="none"/>
        </w:rPr>
      </w:pPr>
      <w:bookmarkStart w:id="349" w:name="_Toc100052398"/>
      <w:r>
        <w:rPr>
          <w:rFonts w:hint="eastAsia"/>
          <w:highlight w:val="none"/>
        </w:rPr>
        <w:t>33．投标文件初审</w:t>
      </w:r>
      <w:bookmarkEnd w:id="349"/>
    </w:p>
    <w:bookmarkEnd w:id="345"/>
    <w:bookmarkEnd w:id="346"/>
    <w:bookmarkEnd w:id="347"/>
    <w:bookmarkEnd w:id="348"/>
    <w:p>
      <w:pPr>
        <w:widowControl w:val="0"/>
        <w:shd w:val="clear" w:color="auto" w:fill="auto"/>
        <w:tabs>
          <w:tab w:val="clear" w:pos="426"/>
        </w:tabs>
        <w:autoSpaceDE w:val="0"/>
        <w:autoSpaceDN w:val="0"/>
        <w:rPr>
          <w:rFonts w:cs="黑体"/>
          <w:b/>
          <w:bCs/>
          <w:szCs w:val="21"/>
          <w:highlight w:val="none"/>
        </w:rPr>
      </w:pPr>
      <w:r>
        <w:rPr>
          <w:rFonts w:hint="eastAsia"/>
          <w:highlight w:val="none"/>
        </w:rPr>
        <w:t>33.1</w:t>
      </w:r>
      <w:r>
        <w:rPr>
          <w:rFonts w:hint="eastAsia"/>
          <w:szCs w:val="21"/>
          <w:highlight w:val="none"/>
          <w:lang w:eastAsia="zh-TW"/>
        </w:rPr>
        <w:t>评标委员会将</w:t>
      </w:r>
      <w:r>
        <w:rPr>
          <w:rFonts w:hint="eastAsia"/>
          <w:szCs w:val="21"/>
          <w:highlight w:val="none"/>
        </w:rPr>
        <w:t>依法对投标文件进行初审。</w:t>
      </w:r>
      <w:r>
        <w:rPr>
          <w:rFonts w:hint="eastAsia"/>
          <w:highlight w:val="none"/>
        </w:rPr>
        <w:t>投标文件初审包括资格性审查和符合性审查，资格性审查：依据法律法规和招标文件的规定，对投标文件中的资格证明、投标保证金等进行审查，以确定投标人是否具备投标资格。符合性审查：依据招标文件的规定，从投标文件的有效性、完整性和对招标文件的响应程度进行审查，以确定是否对招标文件的实质性要求作出响应。</w:t>
      </w:r>
    </w:p>
    <w:p>
      <w:pPr>
        <w:tabs>
          <w:tab w:val="clear" w:pos="426"/>
        </w:tabs>
        <w:rPr>
          <w:b/>
          <w:highlight w:val="none"/>
        </w:rPr>
      </w:pPr>
      <w:r>
        <w:rPr>
          <w:rFonts w:hint="eastAsia"/>
          <w:highlight w:val="none"/>
        </w:rPr>
        <w:t>33.2投标文件初审内容请详见“</w:t>
      </w:r>
      <w:r>
        <w:rPr>
          <w:rFonts w:hint="eastAsia"/>
          <w:b/>
          <w:highlight w:val="none"/>
        </w:rPr>
        <w:t>资格、符合性评审条款</w:t>
      </w:r>
      <w:r>
        <w:rPr>
          <w:rFonts w:hint="eastAsia"/>
          <w:highlight w:val="none"/>
        </w:rPr>
        <w:t>”。投标人若有一条审查不通过则按无效标处理。评标委员会对投标单位打√为通过审查，打×为未通过审查。</w:t>
      </w:r>
    </w:p>
    <w:p>
      <w:pPr>
        <w:tabs>
          <w:tab w:val="clear" w:pos="426"/>
        </w:tabs>
        <w:rPr>
          <w:highlight w:val="none"/>
        </w:rPr>
      </w:pPr>
      <w:r>
        <w:rPr>
          <w:highlight w:val="none"/>
        </w:rPr>
        <w:t>33.3 投标文件初审中关于供应商家数的计算</w:t>
      </w:r>
    </w:p>
    <w:p>
      <w:pPr>
        <w:tabs>
          <w:tab w:val="clear" w:pos="426"/>
        </w:tabs>
        <w:rPr>
          <w:highlight w:val="none"/>
        </w:rPr>
      </w:pPr>
      <w:r>
        <w:rPr>
          <w:highlight w:val="none"/>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tabs>
          <w:tab w:val="clear" w:pos="426"/>
        </w:tabs>
        <w:rPr>
          <w:highlight w:val="none"/>
        </w:rPr>
      </w:pPr>
      <w:r>
        <w:rPr>
          <w:highlight w:val="none"/>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tabs>
          <w:tab w:val="clear" w:pos="426"/>
        </w:tabs>
        <w:rPr>
          <w:highlight w:val="none"/>
        </w:rPr>
      </w:pPr>
      <w:r>
        <w:rPr>
          <w:highlight w:val="none"/>
        </w:rPr>
        <w:t>33.3.3非单一产品采购项目，采购人应当根据采购项目技术构成、产品价格比重等合理确定核心产品，并在招标文件中载明。多家投标人提供的核心产品品牌相同的，按前两款规定处理。</w:t>
      </w:r>
    </w:p>
    <w:p>
      <w:pPr>
        <w:tabs>
          <w:tab w:val="clear" w:pos="426"/>
        </w:tabs>
        <w:rPr>
          <w:highlight w:val="none"/>
        </w:rPr>
      </w:pPr>
      <w:r>
        <w:rPr>
          <w:highlight w:val="none"/>
        </w:rPr>
        <w:t>33.3.4公开招标以外采购方式以及政府采购服务和工程涉及采购货物的项目，也按此方法计算供应商家数。</w:t>
      </w:r>
    </w:p>
    <w:p>
      <w:pPr>
        <w:tabs>
          <w:tab w:val="clear" w:pos="426"/>
        </w:tabs>
        <w:rPr>
          <w:b/>
          <w:bCs/>
          <w:highlight w:val="none"/>
        </w:rPr>
      </w:pPr>
      <w:r>
        <w:rPr>
          <w:rFonts w:hint="eastAsia"/>
          <w:highlight w:val="none"/>
        </w:rPr>
        <w:t>33.4对不属于投标文件“</w:t>
      </w:r>
      <w:r>
        <w:rPr>
          <w:rFonts w:hint="eastAsia"/>
          <w:b/>
          <w:highlight w:val="none"/>
        </w:rPr>
        <w:t>资格、符合性评审条款</w:t>
      </w:r>
      <w:r>
        <w:rPr>
          <w:rFonts w:hint="eastAsia"/>
          <w:highlight w:val="none"/>
        </w:rPr>
        <w:t>”要所列不符合的情形，除法律法规另有规定外，不得作为废标的理由。</w:t>
      </w:r>
    </w:p>
    <w:p>
      <w:pPr>
        <w:tabs>
          <w:tab w:val="clear" w:pos="426"/>
        </w:tabs>
        <w:rPr>
          <w:highlight w:val="none"/>
        </w:rPr>
      </w:pPr>
      <w:bookmarkStart w:id="350" w:name="_Toc100052399"/>
      <w:r>
        <w:rPr>
          <w:rFonts w:hint="eastAsia"/>
          <w:highlight w:val="none"/>
        </w:rPr>
        <w:t>34．澄清有关问题</w:t>
      </w:r>
      <w:bookmarkEnd w:id="350"/>
    </w:p>
    <w:p>
      <w:pPr>
        <w:tabs>
          <w:tab w:val="clear" w:pos="426"/>
        </w:tabs>
        <w:rPr>
          <w:highlight w:val="none"/>
        </w:rPr>
      </w:pPr>
      <w:bookmarkStart w:id="351" w:name="bt投标文件的澄清"/>
      <w:bookmarkEnd w:id="351"/>
      <w:bookmarkStart w:id="352" w:name="bt废标"/>
      <w:bookmarkEnd w:id="352"/>
      <w:bookmarkStart w:id="353" w:name="bt投标文件的评估和比较"/>
      <w:bookmarkEnd w:id="353"/>
      <w:bookmarkStart w:id="354" w:name="_Toc73521583"/>
      <w:bookmarkStart w:id="355" w:name="_Toc73517675"/>
      <w:bookmarkStart w:id="356" w:name="_Toc73518153"/>
      <w:bookmarkStart w:id="357" w:name="_Toc73521671"/>
      <w:r>
        <w:rPr>
          <w:rFonts w:hint="eastAsia"/>
          <w:highlight w:val="none"/>
        </w:rPr>
        <w:t>为了有助于投标文件的审查、评价和比较，对投标文件含义不明确、同类问题表述不一致或者有明显文字和计算错误的内容，评标委员会可以用书面形式(应当由评标委员会签字)要求投标人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pPr>
        <w:tabs>
          <w:tab w:val="clear" w:pos="426"/>
        </w:tabs>
        <w:rPr>
          <w:highlight w:val="none"/>
        </w:rPr>
      </w:pPr>
      <w:bookmarkStart w:id="358" w:name="_Toc73518151"/>
      <w:bookmarkStart w:id="359" w:name="_Toc73521581"/>
      <w:bookmarkStart w:id="360" w:name="_Toc100052400"/>
      <w:bookmarkStart w:id="361" w:name="_Toc73521669"/>
      <w:bookmarkStart w:id="362" w:name="_Toc73517673"/>
      <w:r>
        <w:rPr>
          <w:rFonts w:hint="eastAsia"/>
          <w:highlight w:val="none"/>
        </w:rPr>
        <w:t>35．错误的修正</w:t>
      </w:r>
      <w:bookmarkEnd w:id="358"/>
      <w:bookmarkEnd w:id="359"/>
      <w:bookmarkEnd w:id="360"/>
      <w:bookmarkEnd w:id="361"/>
      <w:bookmarkEnd w:id="362"/>
    </w:p>
    <w:p>
      <w:pPr>
        <w:tabs>
          <w:tab w:val="clear" w:pos="426"/>
        </w:tabs>
        <w:rPr>
          <w:highlight w:val="none"/>
        </w:rPr>
      </w:pPr>
      <w:r>
        <w:rPr>
          <w:rFonts w:hint="eastAsia"/>
          <w:highlight w:val="none"/>
        </w:rPr>
        <w:t>35</w:t>
      </w:r>
      <w:r>
        <w:rPr>
          <w:highlight w:val="none"/>
        </w:rPr>
        <w:t xml:space="preserve">.1 </w:t>
      </w:r>
      <w:r>
        <w:rPr>
          <w:rFonts w:hint="eastAsia"/>
          <w:highlight w:val="none"/>
        </w:rPr>
        <w:t>评标委员会将审查投标文件是否完整、总体编排是否有序、文件签署是否合格、投标人是否提交了投标保证金、有无计算上的错误等。</w:t>
      </w:r>
    </w:p>
    <w:p>
      <w:pPr>
        <w:tabs>
          <w:tab w:val="clear" w:pos="426"/>
        </w:tabs>
        <w:rPr>
          <w:highlight w:val="none"/>
        </w:rPr>
      </w:pPr>
      <w:r>
        <w:rPr>
          <w:rFonts w:hint="eastAsia"/>
          <w:highlight w:val="none"/>
        </w:rPr>
        <w:t>35.2  算术错误将按以下方法更正（次序排先者优先）：</w:t>
      </w:r>
    </w:p>
    <w:p>
      <w:pPr>
        <w:tabs>
          <w:tab w:val="clear" w:pos="426"/>
        </w:tabs>
        <w:rPr>
          <w:highlight w:val="none"/>
        </w:rPr>
      </w:pPr>
      <w:r>
        <w:rPr>
          <w:rFonts w:hint="eastAsia"/>
          <w:highlight w:val="none"/>
        </w:rPr>
        <w:t>35.2.1投标文件中开标一览表（报价表）内容与投标文件中相应内容不一致的，以开标一览表（报价表）为准；</w:t>
      </w:r>
    </w:p>
    <w:p>
      <w:pPr>
        <w:tabs>
          <w:tab w:val="clear" w:pos="426"/>
        </w:tabs>
        <w:rPr>
          <w:highlight w:val="none"/>
        </w:rPr>
      </w:pPr>
      <w:r>
        <w:rPr>
          <w:rFonts w:hint="eastAsia"/>
          <w:highlight w:val="none"/>
        </w:rPr>
        <w:t>35.2.2大写金额和小写金额不一致的，以大写金额为准；</w:t>
      </w:r>
    </w:p>
    <w:p>
      <w:pPr>
        <w:tabs>
          <w:tab w:val="clear" w:pos="426"/>
        </w:tabs>
        <w:rPr>
          <w:highlight w:val="none"/>
        </w:rPr>
      </w:pPr>
      <w:r>
        <w:rPr>
          <w:rFonts w:hint="eastAsia"/>
          <w:highlight w:val="none"/>
        </w:rPr>
        <w:t>35.2.3单价金额小数点或者百分比有明显错位的，以开标一览表的总价为准，并修改单价；</w:t>
      </w:r>
    </w:p>
    <w:p>
      <w:pPr>
        <w:tabs>
          <w:tab w:val="clear" w:pos="426"/>
        </w:tabs>
        <w:rPr>
          <w:highlight w:val="none"/>
        </w:rPr>
      </w:pPr>
      <w:r>
        <w:rPr>
          <w:rFonts w:hint="eastAsia"/>
          <w:highlight w:val="none"/>
        </w:rPr>
        <w:t>35.2.4总价金额与按单价汇总金额不一致的，以单价金额计算结果为准；</w:t>
      </w:r>
    </w:p>
    <w:p>
      <w:pPr>
        <w:tabs>
          <w:tab w:val="clear" w:pos="426"/>
        </w:tabs>
        <w:rPr>
          <w:highlight w:val="none"/>
        </w:rPr>
      </w:pPr>
      <w:r>
        <w:rPr>
          <w:rFonts w:hint="eastAsia"/>
          <w:highlight w:val="none"/>
        </w:rPr>
        <w:t>35.2.5 对不同文字文本投标文件的解释发生异议的，以中文文本为准。</w:t>
      </w:r>
    </w:p>
    <w:p>
      <w:pPr>
        <w:tabs>
          <w:tab w:val="clear" w:pos="426"/>
        </w:tabs>
        <w:rPr>
          <w:highlight w:val="none"/>
        </w:rPr>
      </w:pPr>
      <w:r>
        <w:rPr>
          <w:rFonts w:hint="eastAsia"/>
          <w:highlight w:val="none"/>
        </w:rPr>
        <w:t>35</w:t>
      </w:r>
      <w:r>
        <w:rPr>
          <w:highlight w:val="none"/>
        </w:rPr>
        <w:t xml:space="preserve">.3  </w:t>
      </w:r>
      <w:r>
        <w:rPr>
          <w:rFonts w:hint="eastAsia"/>
          <w:highlight w:val="none"/>
        </w:rPr>
        <w:t>对于投标文件中不构成实质性偏差的不正规、不一致或不规则，给评审带来不便，评标委员会可以接受。</w:t>
      </w:r>
    </w:p>
    <w:p>
      <w:pPr>
        <w:tabs>
          <w:tab w:val="clear" w:pos="426"/>
        </w:tabs>
        <w:rPr>
          <w:highlight w:val="none"/>
        </w:rPr>
      </w:pPr>
      <w:r>
        <w:rPr>
          <w:rFonts w:hint="eastAsia"/>
          <w:highlight w:val="none"/>
        </w:rPr>
        <w:t>35.4  投标人的投标报价是可变动价格的，或包含了价格调整要求的，或投标报价中提供</w:t>
      </w:r>
      <w:r>
        <w:rPr>
          <w:highlight w:val="none"/>
        </w:rPr>
        <w:t>两个</w:t>
      </w:r>
      <w:r>
        <w:rPr>
          <w:rFonts w:hint="eastAsia"/>
          <w:highlight w:val="none"/>
        </w:rPr>
        <w:t>（含两个）以上的</w:t>
      </w:r>
      <w:r>
        <w:rPr>
          <w:highlight w:val="none"/>
        </w:rPr>
        <w:t>报价</w:t>
      </w:r>
      <w:r>
        <w:rPr>
          <w:rFonts w:hint="eastAsia"/>
          <w:highlight w:val="none"/>
        </w:rPr>
        <w:t>（</w:t>
      </w:r>
      <w:r>
        <w:rPr>
          <w:highlight w:val="none"/>
        </w:rPr>
        <w:t>招标文件规定提交备选投标方案的除外</w:t>
      </w:r>
      <w:r>
        <w:rPr>
          <w:rFonts w:hint="eastAsia"/>
          <w:highlight w:val="none"/>
        </w:rPr>
        <w:t>），或严重漏项，评标委员会无法进行判断的，评标委员会可以作无效标处理。</w:t>
      </w:r>
    </w:p>
    <w:p>
      <w:pPr>
        <w:tabs>
          <w:tab w:val="clear" w:pos="426"/>
        </w:tabs>
        <w:rPr>
          <w:highlight w:val="none"/>
        </w:rPr>
      </w:pPr>
      <w:r>
        <w:rPr>
          <w:rFonts w:hint="eastAsia"/>
          <w:highlight w:val="none"/>
        </w:rPr>
        <w:t>35.5根据上述修正错误的原则及方法调整或修正投标文件的投标报价，投标人同意后，调整后的投标报价对投标人起约束作用。</w:t>
      </w:r>
      <w:r>
        <w:rPr>
          <w:rFonts w:hint="eastAsia"/>
          <w:b/>
          <w:bCs/>
          <w:highlight w:val="none"/>
        </w:rPr>
        <w:t>如果投标人不接受修正后的报价，则其投标将被拒绝并且其投标保证金也将被没收，并不影响评标工作。</w:t>
      </w:r>
    </w:p>
    <w:p>
      <w:pPr>
        <w:tabs>
          <w:tab w:val="clear" w:pos="426"/>
        </w:tabs>
        <w:rPr>
          <w:highlight w:val="none"/>
        </w:rPr>
      </w:pPr>
      <w:bookmarkStart w:id="363" w:name="_Toc100052401"/>
      <w:r>
        <w:rPr>
          <w:rFonts w:hint="eastAsia"/>
          <w:highlight w:val="none"/>
        </w:rPr>
        <w:t>36．投标文件的</w:t>
      </w:r>
      <w:bookmarkEnd w:id="354"/>
      <w:bookmarkEnd w:id="355"/>
      <w:bookmarkEnd w:id="356"/>
      <w:bookmarkEnd w:id="357"/>
      <w:r>
        <w:rPr>
          <w:rFonts w:hint="eastAsia"/>
          <w:highlight w:val="none"/>
        </w:rPr>
        <w:t>比较与评价</w:t>
      </w:r>
      <w:bookmarkEnd w:id="363"/>
    </w:p>
    <w:p>
      <w:pPr>
        <w:tabs>
          <w:tab w:val="clear" w:pos="426"/>
        </w:tabs>
        <w:rPr>
          <w:highlight w:val="none"/>
        </w:rPr>
      </w:pPr>
      <w:r>
        <w:rPr>
          <w:rFonts w:hint="eastAsia"/>
          <w:highlight w:val="none"/>
        </w:rPr>
        <w:t>36.1评标委员会将按照《深圳经济特区政府采购条例》及《深圳市政府采购评标委员会和评标方法暂行规定》，参照相关法律、法规、规定，仅对通过资格性审查和符合性审查的投标文件进行综合比较与评价。</w:t>
      </w:r>
    </w:p>
    <w:p>
      <w:pPr>
        <w:tabs>
          <w:tab w:val="clear" w:pos="426"/>
        </w:tabs>
        <w:rPr>
          <w:highlight w:val="none"/>
        </w:rPr>
      </w:pPr>
      <w:r>
        <w:rPr>
          <w:rFonts w:hint="eastAsia"/>
          <w:bCs/>
          <w:highlight w:val="none"/>
        </w:rPr>
        <w:t xml:space="preserve">36.2  </w:t>
      </w:r>
      <w:r>
        <w:rPr>
          <w:rFonts w:hint="eastAsia"/>
          <w:highlight w:val="none"/>
        </w:rPr>
        <w:t>评标委员会应当根据招标文件，审查并逐项列出投标文件的全部投标偏离。投标偏离分为重大偏离和细微偏离。</w:t>
      </w:r>
    </w:p>
    <w:p>
      <w:pPr>
        <w:tabs>
          <w:tab w:val="clear" w:pos="426"/>
        </w:tabs>
        <w:rPr>
          <w:highlight w:val="none"/>
        </w:rPr>
      </w:pPr>
      <w:r>
        <w:rPr>
          <w:rFonts w:hint="eastAsia"/>
          <w:highlight w:val="none"/>
        </w:rPr>
        <w:t>36.3 评标委员会应当对投标人的投标文件进行分析和比较。</w:t>
      </w:r>
    </w:p>
    <w:p>
      <w:pPr>
        <w:tabs>
          <w:tab w:val="clear" w:pos="426"/>
        </w:tabs>
        <w:rPr>
          <w:highlight w:val="none"/>
        </w:rPr>
      </w:pPr>
      <w:r>
        <w:rPr>
          <w:rFonts w:hint="eastAsia"/>
          <w:highlight w:val="none"/>
        </w:rPr>
        <w:t>36.4  评标委员会应当根据招标文件规定，对投标文件中的每项评审内容进行评审。</w:t>
      </w:r>
    </w:p>
    <w:p>
      <w:pPr>
        <w:tabs>
          <w:tab w:val="clear" w:pos="426"/>
        </w:tabs>
        <w:rPr>
          <w:kern w:val="10"/>
          <w:highlight w:val="none"/>
        </w:rPr>
      </w:pPr>
      <w:r>
        <w:rPr>
          <w:rFonts w:hint="eastAsia"/>
          <w:kern w:val="10"/>
          <w:highlight w:val="none"/>
        </w:rPr>
        <w:t>36.5  投标文件存在重大偏离的，应作废标处理。下列情况属于重大偏离：</w:t>
      </w:r>
    </w:p>
    <w:p>
      <w:pPr>
        <w:tabs>
          <w:tab w:val="clear" w:pos="426"/>
        </w:tabs>
        <w:rPr>
          <w:kern w:val="10"/>
          <w:highlight w:val="none"/>
        </w:rPr>
      </w:pPr>
      <w:r>
        <w:rPr>
          <w:rFonts w:hint="eastAsia"/>
          <w:kern w:val="10"/>
          <w:highlight w:val="none"/>
        </w:rPr>
        <w:t>36.5.1  投标人以他人的名义投标或出现下列串通投标、弄虚作假投标嫌疑的：</w:t>
      </w:r>
    </w:p>
    <w:p>
      <w:pPr>
        <w:tabs>
          <w:tab w:val="clear" w:pos="426"/>
        </w:tabs>
        <w:rPr>
          <w:kern w:val="10"/>
          <w:highlight w:val="none"/>
        </w:rPr>
      </w:pPr>
      <w:r>
        <w:rPr>
          <w:rFonts w:hint="eastAsia"/>
          <w:kern w:val="10"/>
          <w:highlight w:val="none"/>
        </w:rPr>
        <w:t xml:space="preserve">36.5.1.1  </w:t>
      </w:r>
      <w:r>
        <w:rPr>
          <w:kern w:val="10"/>
          <w:highlight w:val="none"/>
        </w:rPr>
        <w:t>不同投标人的投标文件内容存在非正常一致</w:t>
      </w:r>
      <w:r>
        <w:rPr>
          <w:rFonts w:hint="eastAsia"/>
          <w:kern w:val="10"/>
          <w:highlight w:val="none"/>
        </w:rPr>
        <w:t>的</w:t>
      </w:r>
      <w:r>
        <w:rPr>
          <w:kern w:val="10"/>
          <w:highlight w:val="none"/>
        </w:rPr>
        <w:t>；</w:t>
      </w:r>
    </w:p>
    <w:p>
      <w:pPr>
        <w:tabs>
          <w:tab w:val="clear" w:pos="426"/>
        </w:tabs>
        <w:rPr>
          <w:kern w:val="10"/>
          <w:highlight w:val="none"/>
        </w:rPr>
      </w:pPr>
      <w:r>
        <w:rPr>
          <w:rFonts w:hint="eastAsia"/>
          <w:kern w:val="10"/>
          <w:highlight w:val="none"/>
        </w:rPr>
        <w:t xml:space="preserve">36.5.1.2  </w:t>
      </w:r>
      <w:r>
        <w:rPr>
          <w:kern w:val="10"/>
          <w:highlight w:val="none"/>
        </w:rPr>
        <w:t>不同投标人的投标文件错漏之处一致的；</w:t>
      </w:r>
    </w:p>
    <w:p>
      <w:pPr>
        <w:tabs>
          <w:tab w:val="clear" w:pos="426"/>
        </w:tabs>
        <w:rPr>
          <w:kern w:val="10"/>
          <w:highlight w:val="none"/>
        </w:rPr>
      </w:pPr>
      <w:r>
        <w:rPr>
          <w:rFonts w:hint="eastAsia"/>
          <w:kern w:val="10"/>
          <w:highlight w:val="none"/>
        </w:rPr>
        <w:t xml:space="preserve">36.5.1.3  </w:t>
      </w:r>
      <w:r>
        <w:rPr>
          <w:kern w:val="10"/>
          <w:highlight w:val="none"/>
        </w:rPr>
        <w:t>不同投标人的投标报价或者报价组成异常一致或者呈规律性变化的；</w:t>
      </w:r>
    </w:p>
    <w:p>
      <w:pPr>
        <w:tabs>
          <w:tab w:val="clear" w:pos="426"/>
        </w:tabs>
        <w:rPr>
          <w:kern w:val="10"/>
          <w:highlight w:val="none"/>
        </w:rPr>
      </w:pPr>
      <w:r>
        <w:rPr>
          <w:rFonts w:hint="eastAsia"/>
          <w:kern w:val="10"/>
          <w:highlight w:val="none"/>
        </w:rPr>
        <w:t xml:space="preserve">36.5.1.4  </w:t>
      </w:r>
      <w:r>
        <w:rPr>
          <w:kern w:val="10"/>
          <w:highlight w:val="none"/>
        </w:rPr>
        <w:t>不同投标人的投标文件由同一单位或者同一个人编制的；</w:t>
      </w:r>
    </w:p>
    <w:p>
      <w:pPr>
        <w:tabs>
          <w:tab w:val="clear" w:pos="426"/>
        </w:tabs>
        <w:rPr>
          <w:kern w:val="10"/>
          <w:highlight w:val="none"/>
        </w:rPr>
      </w:pPr>
      <w:r>
        <w:rPr>
          <w:rFonts w:hint="eastAsia"/>
          <w:kern w:val="10"/>
          <w:highlight w:val="none"/>
        </w:rPr>
        <w:t xml:space="preserve">36.5.1.5  </w:t>
      </w:r>
      <w:r>
        <w:rPr>
          <w:kern w:val="10"/>
          <w:highlight w:val="none"/>
        </w:rPr>
        <w:t>不同投标人的投标文件载明的</w:t>
      </w:r>
      <w:r>
        <w:rPr>
          <w:rFonts w:hint="eastAsia"/>
          <w:kern w:val="10"/>
          <w:highlight w:val="none"/>
        </w:rPr>
        <w:t>项目负责人与主要技术人员</w:t>
      </w:r>
      <w:r>
        <w:rPr>
          <w:kern w:val="10"/>
          <w:highlight w:val="none"/>
        </w:rPr>
        <w:t>出现同一人的；</w:t>
      </w:r>
    </w:p>
    <w:p>
      <w:pPr>
        <w:tabs>
          <w:tab w:val="clear" w:pos="426"/>
        </w:tabs>
        <w:rPr>
          <w:kern w:val="10"/>
          <w:highlight w:val="none"/>
        </w:rPr>
      </w:pPr>
      <w:r>
        <w:rPr>
          <w:rFonts w:hint="eastAsia"/>
          <w:kern w:val="10"/>
          <w:highlight w:val="none"/>
        </w:rPr>
        <w:t xml:space="preserve">36.5.1.6  </w:t>
      </w:r>
      <w:r>
        <w:rPr>
          <w:kern w:val="10"/>
          <w:highlight w:val="none"/>
        </w:rPr>
        <w:t>不同投标人的投标文件相互混装的；</w:t>
      </w:r>
    </w:p>
    <w:p>
      <w:pPr>
        <w:tabs>
          <w:tab w:val="clear" w:pos="426"/>
        </w:tabs>
        <w:rPr>
          <w:kern w:val="10"/>
          <w:highlight w:val="none"/>
        </w:rPr>
      </w:pPr>
      <w:r>
        <w:rPr>
          <w:rFonts w:hint="eastAsia"/>
          <w:kern w:val="10"/>
          <w:highlight w:val="none"/>
        </w:rPr>
        <w:t xml:space="preserve">36.5.1.7  </w:t>
      </w:r>
      <w:r>
        <w:rPr>
          <w:kern w:val="10"/>
          <w:highlight w:val="none"/>
        </w:rPr>
        <w:t>不同投标人委托同一人投标的</w:t>
      </w:r>
      <w:r>
        <w:rPr>
          <w:rFonts w:hint="eastAsia"/>
          <w:kern w:val="10"/>
          <w:highlight w:val="none"/>
        </w:rPr>
        <w:t>；</w:t>
      </w:r>
    </w:p>
    <w:p>
      <w:pPr>
        <w:tabs>
          <w:tab w:val="clear" w:pos="426"/>
        </w:tabs>
        <w:rPr>
          <w:kern w:val="10"/>
          <w:highlight w:val="none"/>
        </w:rPr>
      </w:pPr>
      <w:r>
        <w:rPr>
          <w:rFonts w:hint="eastAsia"/>
          <w:kern w:val="10"/>
          <w:highlight w:val="none"/>
        </w:rPr>
        <w:t>36.5.1.8  不同投标人聘请同一人为其投标提供技术或者经济咨询服务的，但招标工程本身要求采用专有技术的除外；</w:t>
      </w:r>
    </w:p>
    <w:p>
      <w:pPr>
        <w:tabs>
          <w:tab w:val="clear" w:pos="426"/>
        </w:tabs>
        <w:rPr>
          <w:kern w:val="10"/>
          <w:highlight w:val="none"/>
        </w:rPr>
      </w:pPr>
      <w:r>
        <w:rPr>
          <w:rFonts w:hint="eastAsia"/>
          <w:kern w:val="10"/>
          <w:highlight w:val="none"/>
        </w:rPr>
        <w:t xml:space="preserve">36.5.1.9  </w:t>
      </w:r>
      <w:r>
        <w:rPr>
          <w:kern w:val="10"/>
          <w:highlight w:val="none"/>
        </w:rPr>
        <w:t>评标委员会认定的其他串通投标情形。</w:t>
      </w:r>
    </w:p>
    <w:p>
      <w:pPr>
        <w:tabs>
          <w:tab w:val="clear" w:pos="426"/>
        </w:tabs>
        <w:rPr>
          <w:highlight w:val="none"/>
        </w:rPr>
      </w:pPr>
      <w:r>
        <w:rPr>
          <w:rFonts w:hint="eastAsia"/>
          <w:kern w:val="10"/>
          <w:highlight w:val="none"/>
        </w:rPr>
        <w:t xml:space="preserve">36.5.2 </w:t>
      </w:r>
      <w:r>
        <w:rPr>
          <w:rFonts w:hint="eastAsia"/>
          <w:highlight w:val="none"/>
        </w:rPr>
        <w:t xml:space="preserve"> 投标文件不满足招标文件规定的任何一项实质性要求的；</w:t>
      </w:r>
    </w:p>
    <w:p>
      <w:pPr>
        <w:tabs>
          <w:tab w:val="clear" w:pos="426"/>
        </w:tabs>
        <w:rPr>
          <w:highlight w:val="none"/>
        </w:rPr>
      </w:pPr>
      <w:r>
        <w:rPr>
          <w:rFonts w:hint="eastAsia"/>
          <w:bCs/>
          <w:kern w:val="10"/>
          <w:highlight w:val="none"/>
        </w:rPr>
        <w:t xml:space="preserve">36.5.3 </w:t>
      </w:r>
      <w:r>
        <w:rPr>
          <w:rFonts w:hint="eastAsia"/>
          <w:highlight w:val="none"/>
        </w:rPr>
        <w:t xml:space="preserve"> 投标文件对招标文件规定的非实质性要求的偏离，超出允许偏离的最大范围或最高项数的；</w:t>
      </w:r>
    </w:p>
    <w:p>
      <w:pPr>
        <w:tabs>
          <w:tab w:val="clear" w:pos="426"/>
        </w:tabs>
        <w:rPr>
          <w:highlight w:val="none"/>
        </w:rPr>
      </w:pPr>
      <w:r>
        <w:rPr>
          <w:kern w:val="10"/>
          <w:highlight w:val="none"/>
        </w:rPr>
        <w:t>3</w:t>
      </w:r>
      <w:r>
        <w:rPr>
          <w:rFonts w:hint="eastAsia"/>
          <w:kern w:val="10"/>
          <w:highlight w:val="none"/>
        </w:rPr>
        <w:t>6</w:t>
      </w:r>
      <w:r>
        <w:rPr>
          <w:kern w:val="10"/>
          <w:highlight w:val="none"/>
        </w:rPr>
        <w:t>.5.</w:t>
      </w:r>
      <w:r>
        <w:rPr>
          <w:rFonts w:hint="eastAsia"/>
          <w:kern w:val="10"/>
          <w:highlight w:val="none"/>
        </w:rPr>
        <w:t xml:space="preserve">4 </w:t>
      </w:r>
      <w:r>
        <w:rPr>
          <w:rFonts w:hint="eastAsia"/>
          <w:highlight w:val="none"/>
        </w:rPr>
        <w:t xml:space="preserve"> 评标委员会根据招标文件的规定对投标文件的投标价格进行调整，投标人不接受调整方式的，或不接受调整后的价格的；</w:t>
      </w:r>
    </w:p>
    <w:p>
      <w:pPr>
        <w:tabs>
          <w:tab w:val="clear" w:pos="426"/>
        </w:tabs>
        <w:rPr>
          <w:kern w:val="10"/>
          <w:highlight w:val="none"/>
        </w:rPr>
      </w:pPr>
      <w:r>
        <w:rPr>
          <w:rFonts w:hint="eastAsia"/>
          <w:kern w:val="10"/>
          <w:highlight w:val="none"/>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pPr>
        <w:tabs>
          <w:tab w:val="clear" w:pos="426"/>
        </w:tabs>
        <w:rPr>
          <w:kern w:val="10"/>
          <w:highlight w:val="none"/>
        </w:rPr>
      </w:pPr>
      <w:r>
        <w:rPr>
          <w:rFonts w:hint="eastAsia"/>
          <w:kern w:val="10"/>
          <w:highlight w:val="none"/>
        </w:rPr>
        <w:t>36.7 评标委员会应书面要求存在细微偏离的投标人在评标结束前予以补正。拒不补正的，在详细评审时可以对细微偏离按照不利于该投标人的原则进行调整，且投标人不得因此提出任何异议。</w:t>
      </w:r>
    </w:p>
    <w:p>
      <w:pPr>
        <w:tabs>
          <w:tab w:val="clear" w:pos="426"/>
        </w:tabs>
        <w:rPr>
          <w:highlight w:val="none"/>
        </w:rPr>
      </w:pPr>
      <w:r>
        <w:rPr>
          <w:rFonts w:hint="eastAsia"/>
          <w:highlight w:val="none"/>
        </w:rPr>
        <w:t>37.实地考察、演示或设备测试</w:t>
      </w:r>
    </w:p>
    <w:p>
      <w:pPr>
        <w:tabs>
          <w:tab w:val="clear" w:pos="426"/>
        </w:tabs>
        <w:rPr>
          <w:highlight w:val="none"/>
        </w:rPr>
      </w:pPr>
      <w:r>
        <w:rPr>
          <w:rFonts w:hint="eastAsia"/>
          <w:highlight w:val="none"/>
        </w:rPr>
        <w:t>37.1在招标过程中，评标委员会有权决定是否对本项目投标人进行现场勘察或实地考察或检验有关证明材料的原件。投标人应随时做好接受检查的准备。</w:t>
      </w:r>
    </w:p>
    <w:p>
      <w:pPr>
        <w:tabs>
          <w:tab w:val="clear" w:pos="426"/>
        </w:tabs>
        <w:rPr>
          <w:highlight w:val="none"/>
        </w:rPr>
      </w:pPr>
      <w:r>
        <w:rPr>
          <w:rFonts w:hint="eastAsia"/>
          <w:highlight w:val="none"/>
        </w:rPr>
        <w:t>37.2若招标文件要求进行现场演示或设备测试的，投标人应做好相应准备。</w:t>
      </w:r>
    </w:p>
    <w:p>
      <w:pPr>
        <w:tabs>
          <w:tab w:val="clear" w:pos="426"/>
        </w:tabs>
        <w:rPr>
          <w:highlight w:val="none"/>
        </w:rPr>
      </w:pPr>
      <w:bookmarkStart w:id="364" w:name="_Toc100052402"/>
      <w:r>
        <w:rPr>
          <w:rFonts w:hint="eastAsia"/>
          <w:highlight w:val="none"/>
        </w:rPr>
        <w:t>38．评标方法</w:t>
      </w:r>
      <w:bookmarkEnd w:id="364"/>
    </w:p>
    <w:p>
      <w:pPr>
        <w:tabs>
          <w:tab w:val="clear" w:pos="426"/>
        </w:tabs>
        <w:rPr>
          <w:szCs w:val="21"/>
          <w:highlight w:val="none"/>
        </w:rPr>
      </w:pPr>
      <w:r>
        <w:rPr>
          <w:rFonts w:hint="eastAsia"/>
          <w:szCs w:val="21"/>
          <w:highlight w:val="none"/>
        </w:rPr>
        <w:t>38.1</w:t>
      </w:r>
      <w:r>
        <w:rPr>
          <w:rFonts w:hint="eastAsia"/>
          <w:highlight w:val="none"/>
        </w:rPr>
        <w:t>根据《转发财政部关于加强政府采购货物和服务项目价格评审管理的通知》（深财购[2007]9号）和《关于印发&lt;深圳市政府采购评标委员会和评标方法暂行规定&gt;的通知》(深财购[2005]5号)《</w:t>
      </w:r>
      <w:r>
        <w:rPr>
          <w:highlight w:val="none"/>
        </w:rPr>
        <w:t>深圳市政府采购评标定标分离管理暂行办法</w:t>
      </w:r>
      <w:r>
        <w:rPr>
          <w:rFonts w:hint="eastAsia"/>
          <w:highlight w:val="none"/>
        </w:rPr>
        <w:t>》的有关要求，</w:t>
      </w:r>
      <w:r>
        <w:rPr>
          <w:rFonts w:hint="eastAsia"/>
          <w:szCs w:val="21"/>
          <w:highlight w:val="none"/>
        </w:rPr>
        <w:t>项目评标方法根据是否是评定分离项目进行选择。</w:t>
      </w:r>
    </w:p>
    <w:p>
      <w:pPr>
        <w:tabs>
          <w:tab w:val="clear" w:pos="426"/>
        </w:tabs>
        <w:rPr>
          <w:highlight w:val="none"/>
        </w:rPr>
      </w:pPr>
      <w:r>
        <w:rPr>
          <w:rFonts w:hint="eastAsia"/>
          <w:highlight w:val="none"/>
        </w:rPr>
        <w:t>38.2非评定分离项目</w:t>
      </w:r>
    </w:p>
    <w:p>
      <w:pPr>
        <w:tabs>
          <w:tab w:val="clear" w:pos="426"/>
        </w:tabs>
        <w:rPr>
          <w:highlight w:val="none"/>
        </w:rPr>
      </w:pPr>
      <w:r>
        <w:rPr>
          <w:rFonts w:hint="eastAsia"/>
          <w:highlight w:val="none"/>
        </w:rPr>
        <w:t>非评定分离项目评分方法为最低评标价法、综合评标法、性价比法及法律、法规允许的其它评标办法。</w:t>
      </w:r>
    </w:p>
    <w:p>
      <w:pPr>
        <w:tabs>
          <w:tab w:val="clear" w:pos="426"/>
        </w:tabs>
        <w:rPr>
          <w:b/>
          <w:highlight w:val="none"/>
        </w:rPr>
      </w:pPr>
      <w:r>
        <w:rPr>
          <w:rFonts w:hint="eastAsia"/>
          <w:highlight w:val="none"/>
        </w:rPr>
        <w:t>38.2.1</w:t>
      </w:r>
      <w:bookmarkStart w:id="365" w:name="评标方法2"/>
      <w:r>
        <w:rPr>
          <w:rFonts w:hint="eastAsia"/>
          <w:highlight w:val="none"/>
        </w:rPr>
        <w:t>最低评标价法</w:t>
      </w:r>
    </w:p>
    <w:p>
      <w:pPr>
        <w:tabs>
          <w:tab w:val="clear" w:pos="426"/>
        </w:tabs>
        <w:rPr>
          <w:highlight w:val="none"/>
        </w:rPr>
      </w:pPr>
      <w:r>
        <w:rPr>
          <w:rFonts w:hint="eastAsia"/>
          <w:highlight w:val="none"/>
        </w:rPr>
        <w:t>最低价法是指以价格因素确定中标候选供应商的评标方法，即在满足招标文件实质性要求前提下，以报价最低的投标人作为中标候选供应商或中标人的评标方法；</w:t>
      </w:r>
    </w:p>
    <w:p>
      <w:pPr>
        <w:tabs>
          <w:tab w:val="clear" w:pos="426"/>
        </w:tabs>
        <w:rPr>
          <w:b/>
          <w:highlight w:val="none"/>
        </w:rPr>
      </w:pPr>
      <w:r>
        <w:rPr>
          <w:rFonts w:hint="eastAsia"/>
          <w:highlight w:val="none"/>
        </w:rPr>
        <w:t>38.2.2</w:t>
      </w:r>
      <w:bookmarkStart w:id="366" w:name="_Hlk5289489"/>
      <w:r>
        <w:rPr>
          <w:rFonts w:hint="eastAsia"/>
          <w:highlight w:val="none"/>
        </w:rPr>
        <w:t>综合评分法</w:t>
      </w:r>
      <w:bookmarkEnd w:id="365"/>
      <w:bookmarkEnd w:id="366"/>
    </w:p>
    <w:p>
      <w:pPr>
        <w:tabs>
          <w:tab w:val="clear" w:pos="426"/>
        </w:tabs>
        <w:rPr>
          <w:highlight w:val="none"/>
        </w:rPr>
      </w:pPr>
      <w:bookmarkStart w:id="367" w:name="评标方法3"/>
      <w:r>
        <w:rPr>
          <w:rFonts w:hint="eastAsia"/>
          <w:highlight w:val="none"/>
        </w:rPr>
        <w:t>综合评分法是指投标文件满足招标文件全部实质性要求，且按照评审因素的量化指标评审得分最高的投标人为中标候选人的评标方法。</w:t>
      </w:r>
    </w:p>
    <w:p>
      <w:pPr>
        <w:tabs>
          <w:tab w:val="clear" w:pos="426"/>
        </w:tabs>
        <w:rPr>
          <w:b/>
          <w:bCs/>
          <w:highlight w:val="none"/>
        </w:rPr>
      </w:pPr>
      <w:r>
        <w:rPr>
          <w:rFonts w:hint="eastAsia"/>
          <w:highlight w:val="none"/>
        </w:rPr>
        <w:t>38.2.3</w:t>
      </w:r>
      <w:r>
        <w:rPr>
          <w:rFonts w:hint="eastAsia"/>
          <w:bCs/>
          <w:highlight w:val="none"/>
        </w:rPr>
        <w:t>性价比法</w:t>
      </w:r>
    </w:p>
    <w:p>
      <w:pPr>
        <w:tabs>
          <w:tab w:val="clear" w:pos="426"/>
        </w:tabs>
        <w:rPr>
          <w:highlight w:val="none"/>
        </w:rPr>
      </w:pPr>
      <w:r>
        <w:rPr>
          <w:rFonts w:hint="eastAsia"/>
          <w:highlight w:val="none"/>
        </w:rPr>
        <w:t>性价比法是指除价格因素外，经对投标文件进行评审，计算出评分因素的总分，除以投标报价，以商数最高的投标人作为中标候选供应商或中标人的评标方法。</w:t>
      </w:r>
    </w:p>
    <w:p>
      <w:pPr>
        <w:tabs>
          <w:tab w:val="clear" w:pos="426"/>
        </w:tabs>
        <w:rPr>
          <w:highlight w:val="none"/>
        </w:rPr>
      </w:pPr>
      <w:r>
        <w:rPr>
          <w:rFonts w:hint="eastAsia"/>
          <w:highlight w:val="none"/>
        </w:rPr>
        <w:t>38.3评定分离项目</w:t>
      </w:r>
    </w:p>
    <w:p>
      <w:pPr>
        <w:tabs>
          <w:tab w:val="clear" w:pos="426"/>
        </w:tabs>
        <w:rPr>
          <w:highlight w:val="none"/>
        </w:rPr>
      </w:pPr>
      <w:r>
        <w:rPr>
          <w:rFonts w:hint="eastAsia"/>
          <w:highlight w:val="none"/>
        </w:rPr>
        <w:t>评定分离项目，评审委员会应当按照综合评分法、定性评审法、最低价法或者法律、法规及规章规定的其他评审方法对投标文件进行评审。</w:t>
      </w:r>
    </w:p>
    <w:p>
      <w:pPr>
        <w:tabs>
          <w:tab w:val="clear" w:pos="426"/>
        </w:tabs>
        <w:rPr>
          <w:b/>
          <w:highlight w:val="none"/>
        </w:rPr>
      </w:pPr>
      <w:r>
        <w:rPr>
          <w:rFonts w:hint="eastAsia"/>
          <w:highlight w:val="none"/>
        </w:rPr>
        <w:t>38.3.1综合评分法</w:t>
      </w:r>
    </w:p>
    <w:p>
      <w:pPr>
        <w:tabs>
          <w:tab w:val="clear" w:pos="426"/>
        </w:tabs>
        <w:rPr>
          <w:highlight w:val="none"/>
        </w:rPr>
      </w:pPr>
      <w:bookmarkStart w:id="368" w:name="_Hlk5289498"/>
      <w:r>
        <w:rPr>
          <w:rFonts w:hint="eastAsia"/>
          <w:highlight w:val="none"/>
        </w:rPr>
        <w:t>综合评分法是指投标文件满足招标文件全部实质性要求，且按照评审因素的量化指标评审得分排名前列的的投标人为中标候选人的评标方法。</w:t>
      </w:r>
      <w:bookmarkEnd w:id="368"/>
    </w:p>
    <w:p>
      <w:pPr>
        <w:tabs>
          <w:tab w:val="clear" w:pos="426"/>
        </w:tabs>
        <w:rPr>
          <w:color w:val="1D1D1D"/>
          <w:sz w:val="18"/>
          <w:szCs w:val="18"/>
          <w:highlight w:val="none"/>
          <w:shd w:val="clear" w:color="auto" w:fill="FFFFFF"/>
        </w:rPr>
      </w:pPr>
      <w:r>
        <w:rPr>
          <w:rFonts w:hint="eastAsia"/>
          <w:highlight w:val="none"/>
        </w:rPr>
        <w:t>38.3.2</w:t>
      </w:r>
      <w:r>
        <w:rPr>
          <w:rFonts w:hint="eastAsia"/>
          <w:bCs/>
          <w:highlight w:val="none"/>
        </w:rPr>
        <w:t>定性评审法</w:t>
      </w:r>
    </w:p>
    <w:p>
      <w:pPr>
        <w:tabs>
          <w:tab w:val="clear" w:pos="426"/>
        </w:tabs>
        <w:rPr>
          <w:highlight w:val="none"/>
        </w:rPr>
      </w:pPr>
      <w:r>
        <w:rPr>
          <w:rFonts w:hint="eastAsia"/>
          <w:highlight w:val="none"/>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废标或者无效标的投标人，均推荐为候选中标人。</w:t>
      </w:r>
    </w:p>
    <w:p>
      <w:pPr>
        <w:tabs>
          <w:tab w:val="clear" w:pos="426"/>
        </w:tabs>
        <w:rPr>
          <w:highlight w:val="none"/>
        </w:rPr>
      </w:pPr>
      <w:r>
        <w:rPr>
          <w:rFonts w:hint="eastAsia"/>
          <w:highlight w:val="none"/>
        </w:rPr>
        <w:t>38.3.3最低价法</w:t>
      </w:r>
    </w:p>
    <w:p>
      <w:pPr>
        <w:tabs>
          <w:tab w:val="clear" w:pos="426"/>
        </w:tabs>
        <w:rPr>
          <w:highlight w:val="none"/>
        </w:rPr>
      </w:pPr>
      <w:r>
        <w:rPr>
          <w:rFonts w:hint="eastAsia"/>
          <w:highlight w:val="none"/>
        </w:rPr>
        <w:t>最低价法是指以价格为主要因素确定候选中标人的评审方法。</w:t>
      </w:r>
    </w:p>
    <w:p>
      <w:pPr>
        <w:tabs>
          <w:tab w:val="clear" w:pos="426"/>
        </w:tabs>
        <w:rPr>
          <w:highlight w:val="none"/>
        </w:rPr>
      </w:pPr>
      <w:r>
        <w:rPr>
          <w:rFonts w:hint="eastAsia"/>
          <w:highlight w:val="none"/>
        </w:rPr>
        <w:t>38.4本项目采用的评标方法</w:t>
      </w:r>
      <w:bookmarkEnd w:id="367"/>
      <w:r>
        <w:rPr>
          <w:rFonts w:hint="eastAsia"/>
          <w:highlight w:val="none"/>
        </w:rPr>
        <w:t>见本项目招标文件专用条款的相关内容。</w:t>
      </w:r>
    </w:p>
    <w:p>
      <w:pPr>
        <w:pStyle w:val="5"/>
        <w:tabs>
          <w:tab w:val="clear" w:pos="426"/>
        </w:tabs>
        <w:rPr>
          <w:highlight w:val="none"/>
        </w:rPr>
      </w:pPr>
      <w:bookmarkStart w:id="369" w:name="_Toc432592827"/>
      <w:bookmarkStart w:id="370" w:name="_Toc5875400"/>
      <w:bookmarkStart w:id="371" w:name="_Toc398220535"/>
      <w:bookmarkStart w:id="372" w:name="_Toc24424"/>
      <w:r>
        <w:rPr>
          <w:rFonts w:hint="eastAsia"/>
          <w:highlight w:val="none"/>
        </w:rPr>
        <w:t>第七章 定标及公示</w:t>
      </w:r>
      <w:bookmarkEnd w:id="369"/>
      <w:bookmarkEnd w:id="370"/>
      <w:bookmarkEnd w:id="371"/>
      <w:bookmarkEnd w:id="372"/>
    </w:p>
    <w:p>
      <w:pPr>
        <w:tabs>
          <w:tab w:val="clear" w:pos="426"/>
        </w:tabs>
        <w:rPr>
          <w:highlight w:val="none"/>
        </w:rPr>
      </w:pPr>
      <w:r>
        <w:rPr>
          <w:rFonts w:hint="eastAsia"/>
          <w:highlight w:val="none"/>
        </w:rPr>
        <w:t>39．定标方法</w:t>
      </w:r>
    </w:p>
    <w:p>
      <w:pPr>
        <w:tabs>
          <w:tab w:val="clear" w:pos="426"/>
        </w:tabs>
        <w:rPr>
          <w:highlight w:val="none"/>
        </w:rPr>
      </w:pPr>
      <w:r>
        <w:rPr>
          <w:rFonts w:hint="eastAsia"/>
          <w:highlight w:val="none"/>
        </w:rPr>
        <w:t>39</w:t>
      </w:r>
      <w:r>
        <w:rPr>
          <w:highlight w:val="none"/>
        </w:rPr>
        <w:t>.</w:t>
      </w:r>
      <w:r>
        <w:rPr>
          <w:rFonts w:hint="eastAsia"/>
          <w:highlight w:val="none"/>
        </w:rPr>
        <w:t>1项目定标方法根据是否是评定分离项目进行选择。</w:t>
      </w:r>
    </w:p>
    <w:p>
      <w:pPr>
        <w:tabs>
          <w:tab w:val="clear" w:pos="426"/>
        </w:tabs>
        <w:rPr>
          <w:highlight w:val="none"/>
        </w:rPr>
      </w:pPr>
      <w:r>
        <w:rPr>
          <w:rFonts w:hint="eastAsia"/>
          <w:highlight w:val="none"/>
        </w:rPr>
        <w:t>39</w:t>
      </w:r>
      <w:r>
        <w:rPr>
          <w:highlight w:val="none"/>
        </w:rPr>
        <w:t>.</w:t>
      </w:r>
      <w:r>
        <w:rPr>
          <w:rFonts w:hint="eastAsia"/>
          <w:highlight w:val="none"/>
        </w:rPr>
        <w:t>2非评定分离项目</w:t>
      </w:r>
    </w:p>
    <w:p>
      <w:pPr>
        <w:tabs>
          <w:tab w:val="clear" w:pos="426"/>
        </w:tabs>
        <w:rPr>
          <w:highlight w:val="none"/>
        </w:rPr>
      </w:pPr>
      <w:r>
        <w:rPr>
          <w:rFonts w:hint="eastAsia"/>
          <w:highlight w:val="none"/>
        </w:rPr>
        <w:t>评标委员会依据本项目招标文件所约定的评标方法进行评审和比较，向采购代理机构提交书面评标报告，并根据评标方法比较评价结果从优到劣进行排序，并推荐中标候选人或确定中标人；</w:t>
      </w:r>
    </w:p>
    <w:p>
      <w:pPr>
        <w:tabs>
          <w:tab w:val="clear" w:pos="426"/>
        </w:tabs>
        <w:rPr>
          <w:highlight w:val="none"/>
        </w:rPr>
      </w:pPr>
      <w:r>
        <w:rPr>
          <w:rFonts w:hint="eastAsia"/>
          <w:highlight w:val="none"/>
        </w:rPr>
        <w:t>39</w:t>
      </w:r>
      <w:r>
        <w:rPr>
          <w:highlight w:val="none"/>
        </w:rPr>
        <w:t>.</w:t>
      </w:r>
      <w:r>
        <w:rPr>
          <w:rFonts w:hint="eastAsia"/>
          <w:highlight w:val="none"/>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人的中标资格，按顺序由排在后面的供应商递补，以此类推。对是否满足实质性要求或报价是否合理或是否低于成本，评委会意见不一致时，按少数服从多数原则作出决定。</w:t>
      </w:r>
    </w:p>
    <w:p>
      <w:pPr>
        <w:tabs>
          <w:tab w:val="clear" w:pos="426"/>
        </w:tabs>
        <w:rPr>
          <w:highlight w:val="none"/>
        </w:rPr>
      </w:pPr>
      <w:r>
        <w:rPr>
          <w:rFonts w:hint="eastAsia"/>
          <w:highlight w:val="none"/>
        </w:rPr>
        <w:t>39</w:t>
      </w:r>
      <w:r>
        <w:rPr>
          <w:highlight w:val="none"/>
        </w:rPr>
        <w:t>.</w:t>
      </w:r>
      <w:r>
        <w:rPr>
          <w:rFonts w:hint="eastAsia"/>
          <w:highlight w:val="none"/>
        </w:rPr>
        <w:t>2.2</w:t>
      </w:r>
      <w:r>
        <w:rPr>
          <w:highlight w:val="none"/>
        </w:rPr>
        <w:t>采用综合评</w:t>
      </w:r>
      <w:r>
        <w:rPr>
          <w:rFonts w:hint="eastAsia"/>
          <w:highlight w:val="none"/>
        </w:rPr>
        <w:t>分</w:t>
      </w:r>
      <w:r>
        <w:rPr>
          <w:highlight w:val="none"/>
        </w:rPr>
        <w:t>法的，按评审后得分由高到低顺序排列。得分相同的，按投标报价由低到高顺序排列。得分且投标报价相同的，按技术指标优劣顺序排列。</w:t>
      </w:r>
      <w:r>
        <w:rPr>
          <w:rFonts w:hint="eastAsia"/>
          <w:b/>
          <w:szCs w:val="21"/>
          <w:highlight w:val="none"/>
        </w:rPr>
        <w:t>得分且投标报价相同的且技术指标或服务方案优劣相同的，</w:t>
      </w:r>
      <w:r>
        <w:rPr>
          <w:rFonts w:cs="Times New Roman"/>
          <w:b/>
          <w:bCs/>
          <w:kern w:val="2"/>
          <w:szCs w:val="21"/>
          <w:highlight w:val="none"/>
        </w:rPr>
        <w:t>采取随机抽取方式确定中标人推荐资格</w:t>
      </w:r>
      <w:r>
        <w:rPr>
          <w:rFonts w:hint="eastAsia" w:cs="Times New Roman"/>
          <w:b/>
          <w:bCs/>
          <w:kern w:val="2"/>
          <w:szCs w:val="21"/>
          <w:highlight w:val="none"/>
        </w:rPr>
        <w:t>。</w:t>
      </w:r>
      <w:r>
        <w:rPr>
          <w:rFonts w:hint="eastAsia"/>
          <w:highlight w:val="none"/>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tabs>
          <w:tab w:val="clear" w:pos="426"/>
        </w:tabs>
        <w:rPr>
          <w:highlight w:val="none"/>
        </w:rPr>
      </w:pPr>
      <w:r>
        <w:rPr>
          <w:rFonts w:hint="eastAsia"/>
          <w:highlight w:val="none"/>
        </w:rPr>
        <w:t>39</w:t>
      </w:r>
      <w:r>
        <w:rPr>
          <w:highlight w:val="none"/>
        </w:rPr>
        <w:t>.</w:t>
      </w:r>
      <w:r>
        <w:rPr>
          <w:rFonts w:hint="eastAsia"/>
          <w:highlight w:val="none"/>
        </w:rPr>
        <w:t>2.3</w:t>
      </w:r>
      <w:r>
        <w:rPr>
          <w:highlight w:val="none"/>
        </w:rPr>
        <w:t>采用</w:t>
      </w:r>
      <w:r>
        <w:rPr>
          <w:rFonts w:hint="eastAsia"/>
          <w:highlight w:val="none"/>
        </w:rPr>
        <w:t>性价比</w:t>
      </w:r>
      <w:r>
        <w:rPr>
          <w:highlight w:val="none"/>
        </w:rPr>
        <w:t>法的</w:t>
      </w:r>
      <w:r>
        <w:rPr>
          <w:rFonts w:hint="eastAsia"/>
          <w:highlight w:val="none"/>
        </w:rPr>
        <w:t>，按商数得分由高到低顺序排列。商数得分相同的，按投标报价由低到高顺序排列。商数得分且投标报价相同的，按技术指标优劣顺序排列。</w:t>
      </w:r>
    </w:p>
    <w:p>
      <w:pPr>
        <w:tabs>
          <w:tab w:val="clear" w:pos="426"/>
        </w:tabs>
        <w:rPr>
          <w:highlight w:val="none"/>
        </w:rPr>
      </w:pPr>
      <w:r>
        <w:rPr>
          <w:rFonts w:hint="eastAsia"/>
          <w:highlight w:val="none"/>
        </w:rPr>
        <w:t>39</w:t>
      </w:r>
      <w:r>
        <w:rPr>
          <w:highlight w:val="none"/>
        </w:rPr>
        <w:t>.</w:t>
      </w:r>
      <w:r>
        <w:rPr>
          <w:rFonts w:hint="eastAsia"/>
          <w:highlight w:val="none"/>
        </w:rPr>
        <w:t>3评定分离项目</w:t>
      </w:r>
    </w:p>
    <w:p>
      <w:pPr>
        <w:tabs>
          <w:tab w:val="clear" w:pos="426"/>
        </w:tabs>
        <w:rPr>
          <w:highlight w:val="none"/>
        </w:rPr>
      </w:pPr>
      <w:r>
        <w:rPr>
          <w:rFonts w:hint="eastAsia"/>
          <w:highlight w:val="none"/>
        </w:rPr>
        <w:t>适用评定分离的政府采购项目，采购人应当根据不同的项目选用自定法、抽签法、竞价法或者法律、法规及规章规定的其他定标方法确定中标人。</w:t>
      </w:r>
    </w:p>
    <w:p>
      <w:pPr>
        <w:tabs>
          <w:tab w:val="clear" w:pos="426"/>
        </w:tabs>
        <w:rPr>
          <w:highlight w:val="none"/>
        </w:rPr>
      </w:pPr>
      <w:r>
        <w:rPr>
          <w:rFonts w:hint="eastAsia"/>
          <w:highlight w:val="none"/>
        </w:rPr>
        <w:t>39</w:t>
      </w:r>
      <w:r>
        <w:rPr>
          <w:highlight w:val="none"/>
        </w:rPr>
        <w:t>.</w:t>
      </w:r>
      <w:r>
        <w:rPr>
          <w:rFonts w:hint="eastAsia"/>
          <w:highlight w:val="none"/>
        </w:rPr>
        <w:t>3.1自定法是指采购人组织定标委员会，由定标委员会在候选中标人中确定中标人。</w:t>
      </w:r>
    </w:p>
    <w:p>
      <w:pPr>
        <w:tabs>
          <w:tab w:val="clear" w:pos="426"/>
        </w:tabs>
        <w:rPr>
          <w:highlight w:val="none"/>
        </w:rPr>
      </w:pPr>
      <w:r>
        <w:rPr>
          <w:rFonts w:hint="eastAsia"/>
          <w:highlight w:val="none"/>
        </w:rPr>
        <w:t>39</w:t>
      </w:r>
      <w:r>
        <w:rPr>
          <w:highlight w:val="none"/>
        </w:rPr>
        <w:t>.</w:t>
      </w:r>
      <w:r>
        <w:rPr>
          <w:rFonts w:hint="eastAsia"/>
          <w:highlight w:val="none"/>
        </w:rPr>
        <w:t>3.2 抽签法是指候选中标人产生后，由采购人委托采购代理机构按照随机抽签的方式在候选中标人中确定中标人。 </w:t>
      </w:r>
    </w:p>
    <w:p>
      <w:pPr>
        <w:tabs>
          <w:tab w:val="clear" w:pos="426"/>
        </w:tabs>
        <w:rPr>
          <w:highlight w:val="none"/>
        </w:rPr>
      </w:pPr>
      <w:r>
        <w:rPr>
          <w:rFonts w:hint="eastAsia"/>
          <w:highlight w:val="none"/>
        </w:rPr>
        <w:t>39</w:t>
      </w:r>
      <w:r>
        <w:rPr>
          <w:highlight w:val="none"/>
        </w:rPr>
        <w:t>.</w:t>
      </w:r>
      <w:r>
        <w:rPr>
          <w:rFonts w:hint="eastAsia"/>
          <w:highlight w:val="none"/>
        </w:rPr>
        <w:t>3.3竞价法是指候选中标人产生后，由采购人委托采购代理机构组织候选中标人进行二次竞价，最终报价最低的为中标人</w:t>
      </w:r>
    </w:p>
    <w:p>
      <w:pPr>
        <w:tabs>
          <w:tab w:val="clear" w:pos="426"/>
        </w:tabs>
        <w:rPr>
          <w:color w:val="FF0000"/>
          <w:highlight w:val="none"/>
        </w:rPr>
      </w:pPr>
      <w:r>
        <w:rPr>
          <w:rFonts w:hint="eastAsia"/>
          <w:highlight w:val="none"/>
        </w:rPr>
        <w:t>39.4本项目采用的定标方法见本项目招标文件专用条款的相关内容。</w:t>
      </w:r>
    </w:p>
    <w:p>
      <w:pPr>
        <w:tabs>
          <w:tab w:val="clear" w:pos="426"/>
        </w:tabs>
        <w:rPr>
          <w:highlight w:val="none"/>
        </w:rPr>
      </w:pPr>
      <w:bookmarkStart w:id="373" w:name="_Toc100052404"/>
      <w:r>
        <w:rPr>
          <w:rFonts w:hint="eastAsia"/>
          <w:highlight w:val="none"/>
        </w:rPr>
        <w:t>40．编写评标报告</w:t>
      </w:r>
      <w:bookmarkEnd w:id="373"/>
    </w:p>
    <w:p>
      <w:pPr>
        <w:tabs>
          <w:tab w:val="clear" w:pos="426"/>
        </w:tabs>
        <w:rPr>
          <w:highlight w:val="none"/>
        </w:rPr>
      </w:pPr>
      <w:r>
        <w:rPr>
          <w:rFonts w:hint="eastAsia"/>
          <w:highlight w:val="none"/>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pPr>
        <w:tabs>
          <w:tab w:val="clear" w:pos="426"/>
        </w:tabs>
        <w:rPr>
          <w:highlight w:val="none"/>
        </w:rPr>
      </w:pPr>
      <w:bookmarkStart w:id="374" w:name="_Toc100052405"/>
      <w:bookmarkStart w:id="375" w:name="_Toc73521588"/>
      <w:bookmarkStart w:id="376" w:name="_Toc73517681"/>
      <w:bookmarkStart w:id="377" w:name="_Toc73521676"/>
      <w:bookmarkStart w:id="378" w:name="_Toc73518159"/>
      <w:r>
        <w:rPr>
          <w:rFonts w:hint="eastAsia"/>
          <w:highlight w:val="none"/>
        </w:rPr>
        <w:t>41．中标公告</w:t>
      </w:r>
      <w:bookmarkEnd w:id="374"/>
    </w:p>
    <w:p>
      <w:pPr>
        <w:tabs>
          <w:tab w:val="clear" w:pos="426"/>
        </w:tabs>
        <w:rPr>
          <w:highlight w:val="none"/>
        </w:rPr>
      </w:pPr>
      <w:r>
        <w:rPr>
          <w:rFonts w:hint="eastAsia"/>
          <w:highlight w:val="none"/>
        </w:rPr>
        <w:t>41.1为体现“公开、公平、公正”的原则，评标结束后，采购代理机构将在“深圳政府采购网”（</w:t>
      </w:r>
      <w:r>
        <w:rPr>
          <w:highlight w:val="none"/>
        </w:rPr>
        <w:fldChar w:fldCharType="begin"/>
      </w:r>
      <w:r>
        <w:rPr>
          <w:highlight w:val="none"/>
        </w:rPr>
        <w:instrText xml:space="preserve"> HYPERLINK "http://www.szfb.gov.cn:8080/" </w:instrText>
      </w:r>
      <w:r>
        <w:rPr>
          <w:highlight w:val="none"/>
        </w:rPr>
        <w:fldChar w:fldCharType="separate"/>
      </w:r>
      <w:r>
        <w:rPr>
          <w:color w:val="0000FF"/>
          <w:highlight w:val="none"/>
          <w:u w:val="single"/>
        </w:rPr>
        <w:t>http://www.szzfcg.cn/</w:t>
      </w:r>
      <w:r>
        <w:rPr>
          <w:color w:val="0000FF"/>
          <w:highlight w:val="none"/>
          <w:u w:val="single"/>
        </w:rPr>
        <w:fldChar w:fldCharType="end"/>
      </w:r>
      <w:r>
        <w:rPr>
          <w:rFonts w:hint="eastAsia"/>
          <w:highlight w:val="none"/>
        </w:rPr>
        <w:t>）及采购代理机构官网：（</w:t>
      </w:r>
      <w:r>
        <w:rPr>
          <w:highlight w:val="none"/>
        </w:rPr>
        <w:t>http://www.szsszx.com/</w:t>
      </w:r>
      <w:r>
        <w:rPr>
          <w:rFonts w:hint="eastAsia"/>
          <w:highlight w:val="none"/>
        </w:rPr>
        <w:t>）上发布中标结果公告，公示期为72小时。供应商如对评标结果有异议，请于公示期内，以书面的形式向我公司反映。若在公示期内未提出异议，则视为认同该评标结果。</w:t>
      </w:r>
    </w:p>
    <w:p>
      <w:pPr>
        <w:tabs>
          <w:tab w:val="clear" w:pos="426"/>
        </w:tabs>
        <w:rPr>
          <w:highlight w:val="none"/>
        </w:rPr>
      </w:pPr>
      <w:r>
        <w:rPr>
          <w:rFonts w:hint="eastAsia"/>
          <w:highlight w:val="none"/>
        </w:rPr>
        <w:t>41.2质疑投诉人应保证质疑投诉内容的真实性和可靠性，并承担相应的法律责任。</w:t>
      </w:r>
    </w:p>
    <w:p>
      <w:pPr>
        <w:tabs>
          <w:tab w:val="clear" w:pos="426"/>
        </w:tabs>
        <w:rPr>
          <w:highlight w:val="none"/>
        </w:rPr>
      </w:pPr>
      <w:bookmarkStart w:id="379" w:name="_Toc100052406"/>
      <w:r>
        <w:rPr>
          <w:rFonts w:hint="eastAsia"/>
          <w:highlight w:val="none"/>
        </w:rPr>
        <w:t>42．中标通知书</w:t>
      </w:r>
      <w:bookmarkEnd w:id="379"/>
    </w:p>
    <w:bookmarkEnd w:id="375"/>
    <w:bookmarkEnd w:id="376"/>
    <w:bookmarkEnd w:id="377"/>
    <w:bookmarkEnd w:id="378"/>
    <w:p>
      <w:pPr>
        <w:tabs>
          <w:tab w:val="clear" w:pos="426"/>
        </w:tabs>
        <w:rPr>
          <w:highlight w:val="none"/>
        </w:rPr>
      </w:pPr>
      <w:r>
        <w:rPr>
          <w:rFonts w:hint="eastAsia"/>
          <w:highlight w:val="none"/>
        </w:rPr>
        <w:t>42</w:t>
      </w:r>
      <w:r>
        <w:rPr>
          <w:highlight w:val="none"/>
        </w:rPr>
        <w:t>.</w:t>
      </w:r>
      <w:r>
        <w:rPr>
          <w:rFonts w:hint="eastAsia"/>
          <w:highlight w:val="none"/>
        </w:rPr>
        <w:t>1中标公告公布后,公示期内无人投诉,请中标人凭单位证明及本人身份证到采购代理机构领取《中标通知书》。</w:t>
      </w:r>
    </w:p>
    <w:p>
      <w:pPr>
        <w:tabs>
          <w:tab w:val="clear" w:pos="426"/>
        </w:tabs>
        <w:rPr>
          <w:highlight w:val="none"/>
        </w:rPr>
      </w:pPr>
      <w:r>
        <w:rPr>
          <w:rFonts w:hint="eastAsia"/>
          <w:highlight w:val="none"/>
        </w:rPr>
        <w:t>42</w:t>
      </w:r>
      <w:r>
        <w:rPr>
          <w:highlight w:val="none"/>
        </w:rPr>
        <w:t>.2</w:t>
      </w:r>
      <w:r>
        <w:rPr>
          <w:rFonts w:hint="eastAsia"/>
          <w:highlight w:val="none"/>
        </w:rPr>
        <w:t>中标通知书是合同的重要组成部分。</w:t>
      </w:r>
    </w:p>
    <w:p>
      <w:pPr>
        <w:tabs>
          <w:tab w:val="clear" w:pos="426"/>
        </w:tabs>
        <w:rPr>
          <w:highlight w:val="none"/>
        </w:rPr>
      </w:pPr>
      <w:r>
        <w:rPr>
          <w:rFonts w:hint="eastAsia"/>
          <w:highlight w:val="none"/>
        </w:rPr>
        <w:t>42.3因质疑投诉或其它原因导致项目结果变更或采购终止的，我公司有权收回中标通知书或终止采购合同。</w:t>
      </w:r>
    </w:p>
    <w:p>
      <w:pPr>
        <w:pStyle w:val="5"/>
        <w:tabs>
          <w:tab w:val="clear" w:pos="426"/>
        </w:tabs>
        <w:rPr>
          <w:highlight w:val="none"/>
        </w:rPr>
      </w:pPr>
      <w:bookmarkStart w:id="380" w:name="bt合同的授予"/>
      <w:bookmarkEnd w:id="380"/>
      <w:bookmarkStart w:id="381" w:name="_Toc398220536"/>
      <w:bookmarkStart w:id="382" w:name="_Toc432592828"/>
      <w:bookmarkStart w:id="383" w:name="_Toc5875401"/>
      <w:bookmarkStart w:id="384" w:name="_Toc11649"/>
      <w:bookmarkStart w:id="385" w:name="_Toc73518156"/>
      <w:bookmarkStart w:id="386" w:name="_Toc100052407"/>
      <w:bookmarkStart w:id="387" w:name="_Toc101074884"/>
      <w:bookmarkStart w:id="388" w:name="_Toc73517678"/>
      <w:r>
        <w:rPr>
          <w:rFonts w:hint="eastAsia"/>
          <w:highlight w:val="none"/>
        </w:rPr>
        <w:t>第八章 公开招标失败的后续处理</w:t>
      </w:r>
      <w:bookmarkEnd w:id="381"/>
      <w:bookmarkEnd w:id="382"/>
      <w:bookmarkEnd w:id="383"/>
      <w:bookmarkEnd w:id="384"/>
    </w:p>
    <w:p>
      <w:pPr>
        <w:tabs>
          <w:tab w:val="clear" w:pos="426"/>
        </w:tabs>
        <w:rPr>
          <w:highlight w:val="none"/>
        </w:rPr>
      </w:pPr>
      <w:r>
        <w:rPr>
          <w:rFonts w:hint="eastAsia"/>
          <w:highlight w:val="none"/>
        </w:rPr>
        <w:t>43．公开招标失败的处理</w:t>
      </w:r>
    </w:p>
    <w:p>
      <w:pPr>
        <w:tabs>
          <w:tab w:val="clear" w:pos="426"/>
        </w:tabs>
        <w:rPr>
          <w:highlight w:val="none"/>
        </w:rPr>
      </w:pPr>
      <w:r>
        <w:rPr>
          <w:rFonts w:hint="eastAsia"/>
          <w:szCs w:val="21"/>
          <w:highlight w:val="none"/>
        </w:rPr>
        <w:t>43.1本项目公开招标过程中若由于投标截止后</w:t>
      </w:r>
      <w:r>
        <w:rPr>
          <w:rFonts w:hint="eastAsia"/>
          <w:highlight w:val="none"/>
        </w:rPr>
        <w:t>实际递交</w:t>
      </w:r>
      <w:r>
        <w:rPr>
          <w:highlight w:val="none"/>
        </w:rPr>
        <w:t>投标</w:t>
      </w:r>
      <w:r>
        <w:rPr>
          <w:rFonts w:hint="eastAsia"/>
          <w:highlight w:val="none"/>
        </w:rPr>
        <w:t>文件的供应商数量不足、经评标委员会评审对招标文件作实质响应的供应商不足等原因造成公开招标失败，可由采购代理机构重新组织采购。</w:t>
      </w:r>
    </w:p>
    <w:p>
      <w:pPr>
        <w:tabs>
          <w:tab w:val="clear" w:pos="426"/>
        </w:tabs>
        <w:rPr>
          <w:highlight w:val="none"/>
        </w:rPr>
      </w:pPr>
      <w:r>
        <w:rPr>
          <w:rFonts w:hint="eastAsia"/>
          <w:highlight w:val="none"/>
        </w:rPr>
        <w:t>43.2对公开招标失败的项目，评标委员会在出具该项目招标失败结论的同时，提出重新采购组织形式的建议，以及进一步完善招标文件的资格、技术、商务要求的修改建议。</w:t>
      </w:r>
    </w:p>
    <w:p>
      <w:pPr>
        <w:tabs>
          <w:tab w:val="clear" w:pos="426"/>
        </w:tabs>
        <w:rPr>
          <w:highlight w:val="none"/>
        </w:rPr>
      </w:pPr>
      <w:r>
        <w:rPr>
          <w:rFonts w:hint="eastAsia"/>
          <w:highlight w:val="none"/>
        </w:rPr>
        <w:t>43.3重新组织采购有以下两种组织形式：</w:t>
      </w:r>
    </w:p>
    <w:p>
      <w:pPr>
        <w:tabs>
          <w:tab w:val="clear" w:pos="426"/>
        </w:tabs>
        <w:rPr>
          <w:highlight w:val="none"/>
        </w:rPr>
      </w:pPr>
      <w:r>
        <w:rPr>
          <w:rFonts w:hint="eastAsia"/>
          <w:highlight w:val="none"/>
        </w:rPr>
        <w:t>（1）由采购代理机构重新组织公开招标；</w:t>
      </w:r>
    </w:p>
    <w:p>
      <w:pPr>
        <w:tabs>
          <w:tab w:val="clear" w:pos="426"/>
        </w:tabs>
        <w:rPr>
          <w:highlight w:val="none"/>
        </w:rPr>
      </w:pPr>
      <w:r>
        <w:rPr>
          <w:rFonts w:hint="eastAsia"/>
          <w:highlight w:val="none"/>
        </w:rPr>
        <w:t>（2）根据实际情况需要向政府采购监督管理部门提出非公开招标方式申请，经政府采购监督管理部门批准公开招标失败采购项目可转为竞争性谈判或单一来源谈判方式采购。</w:t>
      </w:r>
    </w:p>
    <w:p>
      <w:pPr>
        <w:tabs>
          <w:tab w:val="clear" w:pos="426"/>
        </w:tabs>
        <w:rPr>
          <w:highlight w:val="none"/>
        </w:rPr>
      </w:pPr>
      <w:r>
        <w:rPr>
          <w:rFonts w:hint="eastAsia"/>
          <w:highlight w:val="none"/>
        </w:rPr>
        <w:t>43.4公开招标失败的采购项目重新组织公开招标，采购代理机构要重新按公开招标流程发布采购公告和招标文件、组成评标委员会等组织采购活动。</w:t>
      </w:r>
    </w:p>
    <w:p>
      <w:pPr>
        <w:tabs>
          <w:tab w:val="clear" w:pos="426"/>
        </w:tabs>
        <w:rPr>
          <w:highlight w:val="none"/>
        </w:rPr>
      </w:pPr>
      <w:r>
        <w:rPr>
          <w:rFonts w:hint="eastAsia"/>
          <w:highlight w:val="none"/>
        </w:rPr>
        <w:t>43.5公开招标失败的采购项目经政府采购监督管理部门批准转为竞争性谈判或单一来源谈判方式采购的，可不另行制作谈判文件，采购代理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pPr>
        <w:tabs>
          <w:tab w:val="clear" w:pos="426"/>
        </w:tabs>
        <w:rPr>
          <w:highlight w:val="none"/>
        </w:rPr>
      </w:pPr>
      <w:r>
        <w:rPr>
          <w:rFonts w:hint="eastAsia"/>
          <w:highlight w:val="none"/>
        </w:rPr>
        <w:t>44．公开招标失败项目转为竞争性谈判方式采购的</w:t>
      </w:r>
    </w:p>
    <w:p>
      <w:pPr>
        <w:tabs>
          <w:tab w:val="clear" w:pos="426"/>
        </w:tabs>
        <w:rPr>
          <w:highlight w:val="none"/>
        </w:rPr>
      </w:pPr>
      <w:r>
        <w:rPr>
          <w:rFonts w:hint="eastAsia"/>
          <w:highlight w:val="none"/>
        </w:rPr>
        <w:t>44.1谈判文件</w:t>
      </w:r>
    </w:p>
    <w:p>
      <w:pPr>
        <w:tabs>
          <w:tab w:val="clear" w:pos="426"/>
        </w:tabs>
        <w:rPr>
          <w:highlight w:val="none"/>
        </w:rPr>
      </w:pPr>
      <w:r>
        <w:rPr>
          <w:rFonts w:hint="eastAsia"/>
          <w:highlight w:val="none"/>
        </w:rPr>
        <w:t>44.1.1公开招标失败项目转为竞争性谈判方式采购的，原招标文件转为谈判文件。</w:t>
      </w:r>
    </w:p>
    <w:p>
      <w:pPr>
        <w:tabs>
          <w:tab w:val="clear" w:pos="426"/>
        </w:tabs>
        <w:rPr>
          <w:highlight w:val="none"/>
        </w:rPr>
      </w:pPr>
      <w:r>
        <w:rPr>
          <w:rFonts w:hint="eastAsia"/>
          <w:highlight w:val="none"/>
        </w:rPr>
        <w:t>44.2谈判小组</w:t>
      </w:r>
    </w:p>
    <w:p>
      <w:pPr>
        <w:tabs>
          <w:tab w:val="clear" w:pos="426"/>
        </w:tabs>
        <w:rPr>
          <w:highlight w:val="none"/>
        </w:rPr>
      </w:pPr>
      <w:r>
        <w:rPr>
          <w:rFonts w:hint="eastAsia"/>
          <w:highlight w:val="none"/>
        </w:rPr>
        <w:t>44.2.1公开招标失败项目转为竞争性谈判方式采购后，评标委员会转为谈判小组；专家可重新抽取也可继续采用评标委员会内专家。</w:t>
      </w:r>
    </w:p>
    <w:p>
      <w:pPr>
        <w:tabs>
          <w:tab w:val="clear" w:pos="426"/>
        </w:tabs>
        <w:rPr>
          <w:b/>
          <w:highlight w:val="none"/>
        </w:rPr>
      </w:pPr>
      <w:r>
        <w:rPr>
          <w:rFonts w:hint="eastAsia"/>
          <w:szCs w:val="21"/>
          <w:highlight w:val="none"/>
        </w:rPr>
        <w:t>44.2.2</w:t>
      </w:r>
      <w:r>
        <w:rPr>
          <w:rFonts w:hint="eastAsia"/>
          <w:highlight w:val="none"/>
        </w:rPr>
        <w:t>谈判前，谈判小组将对各供应商的谈判应答文件进行审查，</w:t>
      </w:r>
      <w:r>
        <w:rPr>
          <w:rFonts w:hint="eastAsia"/>
          <w:bCs/>
          <w:highlight w:val="none"/>
        </w:rPr>
        <w:t>当谈判应答文件出现下列情况之一的将视为无效，按无效标或废标处理，不得进入谈判，</w:t>
      </w:r>
      <w:r>
        <w:rPr>
          <w:rFonts w:hint="eastAsia"/>
          <w:b/>
          <w:highlight w:val="none"/>
        </w:rPr>
        <w:t>具体内容见原招标文件中“资格、符合性评审</w:t>
      </w:r>
      <w:r>
        <w:rPr>
          <w:rFonts w:hint="eastAsia"/>
          <w:b/>
          <w:bCs/>
          <w:highlight w:val="none"/>
        </w:rPr>
        <w:t>”</w:t>
      </w:r>
      <w:r>
        <w:rPr>
          <w:rFonts w:hint="eastAsia"/>
          <w:b/>
          <w:highlight w:val="none"/>
        </w:rPr>
        <w:t>部分以及谈判邀请中相应的变动部分。</w:t>
      </w:r>
    </w:p>
    <w:p>
      <w:pPr>
        <w:tabs>
          <w:tab w:val="clear" w:pos="426"/>
        </w:tabs>
        <w:rPr>
          <w:highlight w:val="none"/>
        </w:rPr>
      </w:pPr>
      <w:r>
        <w:rPr>
          <w:rFonts w:hint="eastAsia"/>
          <w:highlight w:val="none"/>
        </w:rPr>
        <w:t>44.3谈判程序</w:t>
      </w:r>
    </w:p>
    <w:p>
      <w:pPr>
        <w:tabs>
          <w:tab w:val="clear" w:pos="426"/>
        </w:tabs>
        <w:rPr>
          <w:highlight w:val="none"/>
        </w:rPr>
      </w:pPr>
      <w:r>
        <w:rPr>
          <w:rFonts w:hint="eastAsia"/>
          <w:highlight w:val="none"/>
        </w:rPr>
        <w:t>44.3.1参加谈判的供应商和谈判小组成员填写谈判登记表，并交验证明文件（法定代表人证明书、法人授权委托书、被授权的谈判代表身份证原件）。</w:t>
      </w:r>
    </w:p>
    <w:p>
      <w:pPr>
        <w:tabs>
          <w:tab w:val="clear" w:pos="426"/>
        </w:tabs>
        <w:rPr>
          <w:highlight w:val="none"/>
        </w:rPr>
      </w:pPr>
      <w:r>
        <w:rPr>
          <w:rFonts w:hint="eastAsia"/>
          <w:highlight w:val="none"/>
        </w:rPr>
        <w:t>44.3</w:t>
      </w:r>
      <w:r>
        <w:rPr>
          <w:highlight w:val="none"/>
        </w:rPr>
        <w:t>.2</w:t>
      </w:r>
      <w:r>
        <w:rPr>
          <w:rFonts w:hint="eastAsia"/>
          <w:highlight w:val="none"/>
        </w:rPr>
        <w:t>谈判小组主持人宣布谈判规则和谈判纪律。</w:t>
      </w:r>
    </w:p>
    <w:p>
      <w:pPr>
        <w:tabs>
          <w:tab w:val="clear" w:pos="426"/>
        </w:tabs>
        <w:rPr>
          <w:highlight w:val="none"/>
        </w:rPr>
      </w:pPr>
      <w:r>
        <w:rPr>
          <w:rFonts w:hint="eastAsia"/>
          <w:highlight w:val="none"/>
        </w:rPr>
        <w:t>44.3</w:t>
      </w:r>
      <w:r>
        <w:rPr>
          <w:highlight w:val="none"/>
        </w:rPr>
        <w:t>.3</w:t>
      </w:r>
      <w:r>
        <w:rPr>
          <w:rFonts w:hint="eastAsia"/>
          <w:highlight w:val="none"/>
        </w:rPr>
        <w:t>在谈判中，谈判小组将就以下谈判内容跟供应商进行谈判：</w:t>
      </w:r>
    </w:p>
    <w:p>
      <w:pPr>
        <w:tabs>
          <w:tab w:val="clear" w:pos="426"/>
        </w:tabs>
        <w:rPr>
          <w:highlight w:val="none"/>
        </w:rPr>
      </w:pPr>
      <w:r>
        <w:rPr>
          <w:rFonts w:hint="eastAsia"/>
          <w:highlight w:val="none"/>
        </w:rPr>
        <w:t>（</w:t>
      </w:r>
      <w:r>
        <w:rPr>
          <w:highlight w:val="none"/>
        </w:rPr>
        <w:t>1</w:t>
      </w:r>
      <w:r>
        <w:rPr>
          <w:rFonts w:hint="eastAsia"/>
          <w:highlight w:val="none"/>
        </w:rPr>
        <w:t>）项目方案；</w:t>
      </w:r>
    </w:p>
    <w:p>
      <w:pPr>
        <w:tabs>
          <w:tab w:val="clear" w:pos="426"/>
        </w:tabs>
        <w:rPr>
          <w:highlight w:val="none"/>
        </w:rPr>
      </w:pPr>
      <w:r>
        <w:rPr>
          <w:rFonts w:hint="eastAsia"/>
          <w:highlight w:val="none"/>
        </w:rPr>
        <w:t>（2）报价；</w:t>
      </w:r>
    </w:p>
    <w:p>
      <w:pPr>
        <w:tabs>
          <w:tab w:val="clear" w:pos="426"/>
        </w:tabs>
        <w:rPr>
          <w:highlight w:val="none"/>
        </w:rPr>
      </w:pPr>
      <w:r>
        <w:rPr>
          <w:rFonts w:hint="eastAsia"/>
          <w:highlight w:val="none"/>
        </w:rPr>
        <w:t>（3）其它相关事项。</w:t>
      </w:r>
    </w:p>
    <w:p>
      <w:pPr>
        <w:tabs>
          <w:tab w:val="clear" w:pos="426"/>
        </w:tabs>
        <w:rPr>
          <w:highlight w:val="none"/>
        </w:rPr>
      </w:pPr>
      <w:r>
        <w:rPr>
          <w:rFonts w:hint="eastAsia"/>
          <w:highlight w:val="none"/>
        </w:rPr>
        <w:t>原招标文件或谈判邀请文件有实质性变动的，谈判小组应当通过采购代理机构通知所有参加谈判的供应商。</w:t>
      </w:r>
    </w:p>
    <w:p>
      <w:pPr>
        <w:tabs>
          <w:tab w:val="clear" w:pos="426"/>
        </w:tabs>
        <w:rPr>
          <w:highlight w:val="none"/>
        </w:rPr>
      </w:pPr>
      <w:r>
        <w:rPr>
          <w:rFonts w:hint="eastAsia"/>
          <w:highlight w:val="none"/>
        </w:rPr>
        <w:t>44.3.4谈判小组可以用书面形式要求各供应商对其谈判应答文件含义不明确的内容作必要的澄清或者说明，重要问题供应商应以书面形式进行澄清、说明。</w:t>
      </w:r>
    </w:p>
    <w:p>
      <w:pPr>
        <w:tabs>
          <w:tab w:val="clear" w:pos="426"/>
        </w:tabs>
        <w:rPr>
          <w:highlight w:val="none"/>
        </w:rPr>
      </w:pPr>
      <w:r>
        <w:rPr>
          <w:rFonts w:hint="eastAsia"/>
          <w:highlight w:val="none"/>
        </w:rPr>
        <w:t>44.3</w:t>
      </w:r>
      <w:r>
        <w:rPr>
          <w:highlight w:val="none"/>
        </w:rPr>
        <w:t>.</w:t>
      </w:r>
      <w:r>
        <w:rPr>
          <w:rFonts w:hint="eastAsia"/>
          <w:highlight w:val="none"/>
        </w:rPr>
        <w:t>5 允许供应商在谈判结束之前根据谈判小组提出的内容进行澄清、修改或完善，或对项目方案进行相应的调整。</w:t>
      </w:r>
    </w:p>
    <w:p>
      <w:pPr>
        <w:tabs>
          <w:tab w:val="clear" w:pos="426"/>
        </w:tabs>
        <w:rPr>
          <w:highlight w:val="none"/>
        </w:rPr>
      </w:pPr>
      <w:r>
        <w:rPr>
          <w:rFonts w:hint="eastAsia"/>
          <w:highlight w:val="none"/>
        </w:rPr>
        <w:t>44.3</w:t>
      </w:r>
      <w:r>
        <w:rPr>
          <w:highlight w:val="none"/>
        </w:rPr>
        <w:t>.</w:t>
      </w:r>
      <w:r>
        <w:rPr>
          <w:rFonts w:hint="eastAsia"/>
          <w:highlight w:val="none"/>
        </w:rPr>
        <w:t>6供应商对谈判应答文件进行修改，都应形成文字材料，并经供应商谈判授权人签字认可。</w:t>
      </w:r>
    </w:p>
    <w:p>
      <w:pPr>
        <w:tabs>
          <w:tab w:val="clear" w:pos="426"/>
        </w:tabs>
        <w:rPr>
          <w:highlight w:val="none"/>
        </w:rPr>
      </w:pPr>
      <w:r>
        <w:rPr>
          <w:rFonts w:hint="eastAsia"/>
          <w:highlight w:val="none"/>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pPr>
        <w:tabs>
          <w:tab w:val="clear" w:pos="426"/>
        </w:tabs>
        <w:rPr>
          <w:szCs w:val="21"/>
          <w:highlight w:val="none"/>
        </w:rPr>
      </w:pPr>
      <w:r>
        <w:rPr>
          <w:rFonts w:hint="eastAsia"/>
          <w:szCs w:val="21"/>
          <w:highlight w:val="none"/>
        </w:rPr>
        <w:t>44.3.8有下列情形之一的，该供应商的谈判结果</w:t>
      </w:r>
      <w:r>
        <w:rPr>
          <w:rFonts w:hint="eastAsia"/>
          <w:bCs/>
          <w:highlight w:val="none"/>
        </w:rPr>
        <w:t>按无效标或废标处理</w:t>
      </w:r>
      <w:r>
        <w:rPr>
          <w:rFonts w:hint="eastAsia"/>
          <w:szCs w:val="21"/>
          <w:highlight w:val="none"/>
        </w:rPr>
        <w:t>，</w:t>
      </w:r>
      <w:r>
        <w:rPr>
          <w:rFonts w:hint="eastAsia"/>
          <w:highlight w:val="none"/>
        </w:rPr>
        <w:t>具体内容见原招标文件中不符合“</w:t>
      </w:r>
      <w:r>
        <w:rPr>
          <w:rFonts w:hint="eastAsia"/>
          <w:b/>
          <w:highlight w:val="none"/>
        </w:rPr>
        <w:t>资格、符合性评审条款</w:t>
      </w:r>
      <w:r>
        <w:rPr>
          <w:rFonts w:hint="eastAsia"/>
          <w:highlight w:val="none"/>
        </w:rPr>
        <w:t>”部分以及谈判邀请中相应的变动部分。</w:t>
      </w:r>
    </w:p>
    <w:p>
      <w:pPr>
        <w:tabs>
          <w:tab w:val="clear" w:pos="426"/>
        </w:tabs>
        <w:rPr>
          <w:highlight w:val="none"/>
        </w:rPr>
      </w:pPr>
      <w:r>
        <w:rPr>
          <w:rFonts w:hint="eastAsia"/>
          <w:highlight w:val="none"/>
        </w:rPr>
        <w:t>44.3</w:t>
      </w:r>
      <w:r>
        <w:rPr>
          <w:highlight w:val="none"/>
        </w:rPr>
        <w:t>.</w:t>
      </w:r>
      <w:r>
        <w:rPr>
          <w:rFonts w:hint="eastAsia"/>
          <w:highlight w:val="none"/>
        </w:rPr>
        <w:t>9谈判结束后，谈判小组根据供应商提供的谈判应答文件、谈判过程中产生的相关资料，对供应商谈判应答文件进行评估与比较，提出书面评审意见。</w:t>
      </w:r>
    </w:p>
    <w:p>
      <w:pPr>
        <w:tabs>
          <w:tab w:val="clear" w:pos="426"/>
        </w:tabs>
        <w:rPr>
          <w:highlight w:val="none"/>
        </w:rPr>
      </w:pPr>
      <w:r>
        <w:rPr>
          <w:rFonts w:hint="eastAsia"/>
          <w:highlight w:val="none"/>
        </w:rPr>
        <w:t>44.3.10谈判小组将对谈判过程进行记录，以存档备查。</w:t>
      </w:r>
    </w:p>
    <w:p>
      <w:pPr>
        <w:tabs>
          <w:tab w:val="clear" w:pos="426"/>
        </w:tabs>
        <w:rPr>
          <w:highlight w:val="none"/>
        </w:rPr>
      </w:pPr>
      <w:r>
        <w:rPr>
          <w:rFonts w:hint="eastAsia"/>
          <w:highlight w:val="none"/>
        </w:rPr>
        <w:t>44.4评标方法和定标原则</w:t>
      </w:r>
    </w:p>
    <w:p>
      <w:pPr>
        <w:tabs>
          <w:tab w:val="clear" w:pos="426"/>
        </w:tabs>
        <w:rPr>
          <w:highlight w:val="none"/>
        </w:rPr>
      </w:pPr>
      <w:r>
        <w:rPr>
          <w:rFonts w:hint="eastAsia"/>
          <w:highlight w:val="none"/>
        </w:rPr>
        <w:t>44.4.1根据《深圳市政府采购评标委员会和评标方法暂行规定》（深财购[2005]5号），竞争性谈判采购项目的评标方法要比照</w:t>
      </w:r>
      <w:r>
        <w:rPr>
          <w:rFonts w:hint="eastAsia"/>
          <w:b/>
          <w:highlight w:val="none"/>
        </w:rPr>
        <w:t>最低评标价法规定执行</w:t>
      </w:r>
      <w:r>
        <w:rPr>
          <w:rFonts w:hint="eastAsia"/>
          <w:highlight w:val="none"/>
        </w:rPr>
        <w:t>。如确因实际情况需要采用其他评标方法的，应报经同级政府采购监督管理部门批准。</w:t>
      </w:r>
      <w:r>
        <w:rPr>
          <w:rFonts w:hint="eastAsia"/>
          <w:b/>
          <w:highlight w:val="none"/>
        </w:rPr>
        <w:t>原招标文件若采用</w:t>
      </w:r>
      <w:r>
        <w:rPr>
          <w:rFonts w:hint="eastAsia"/>
          <w:b/>
          <w:bCs/>
          <w:highlight w:val="none"/>
        </w:rPr>
        <w:t>最低评标价法以外的评标方法，转为竞争性谈判后，评标方法应采用</w:t>
      </w:r>
      <w:r>
        <w:rPr>
          <w:rFonts w:hint="eastAsia"/>
          <w:b/>
          <w:highlight w:val="none"/>
        </w:rPr>
        <w:t>最低评标价法。</w:t>
      </w:r>
    </w:p>
    <w:p>
      <w:pPr>
        <w:tabs>
          <w:tab w:val="clear" w:pos="426"/>
        </w:tabs>
        <w:rPr>
          <w:highlight w:val="none"/>
        </w:rPr>
      </w:pPr>
      <w:r>
        <w:rPr>
          <w:rFonts w:hint="eastAsia"/>
          <w:szCs w:val="21"/>
          <w:highlight w:val="none"/>
        </w:rPr>
        <w:t>44.4.2对公开招标失败转为竞争性谈判方式采购的项目，谈判小组</w:t>
      </w:r>
      <w:r>
        <w:rPr>
          <w:rFonts w:hint="eastAsia"/>
          <w:highlight w:val="none"/>
        </w:rPr>
        <w:t>对谈判应答文件进行评审和比较，综合各家供应商最终的方案、服务和投资等谈判结果并按本通用条款第</w:t>
      </w:r>
      <w:r>
        <w:rPr>
          <w:rFonts w:hint="eastAsia"/>
          <w:bCs/>
          <w:szCs w:val="21"/>
          <w:highlight w:val="none"/>
        </w:rPr>
        <w:t>37.1.1款</w:t>
      </w:r>
      <w:r>
        <w:rPr>
          <w:rFonts w:hint="eastAsia"/>
          <w:highlight w:val="none"/>
        </w:rPr>
        <w:t>的</w:t>
      </w:r>
      <w:r>
        <w:rPr>
          <w:rFonts w:hint="eastAsia"/>
          <w:b/>
          <w:bCs/>
          <w:highlight w:val="none"/>
        </w:rPr>
        <w:t>最低评标价法</w:t>
      </w:r>
      <w:r>
        <w:rPr>
          <w:rFonts w:hint="eastAsia"/>
          <w:highlight w:val="none"/>
        </w:rPr>
        <w:t>进行评审。</w:t>
      </w:r>
    </w:p>
    <w:p>
      <w:pPr>
        <w:tabs>
          <w:tab w:val="clear" w:pos="426"/>
        </w:tabs>
        <w:rPr>
          <w:highlight w:val="none"/>
        </w:rPr>
      </w:pPr>
      <w:r>
        <w:rPr>
          <w:rFonts w:hint="eastAsia"/>
          <w:highlight w:val="none"/>
        </w:rPr>
        <w:t>44.4.3若要采用其他评标方法的，必须报经政府采购监督管理部门批准，谈判小组按批准的评标方法进行评审。谈判邀请文件中应注明批准的评标方法。</w:t>
      </w:r>
    </w:p>
    <w:p>
      <w:pPr>
        <w:tabs>
          <w:tab w:val="clear" w:pos="426"/>
        </w:tabs>
        <w:rPr>
          <w:highlight w:val="none"/>
        </w:rPr>
      </w:pPr>
      <w:r>
        <w:rPr>
          <w:rFonts w:hint="eastAsia"/>
          <w:highlight w:val="none"/>
        </w:rPr>
        <w:t>44.4.4谈判小组向采购代理机构提交书面评标报告，并推荐中标候选人或确定中标人。</w:t>
      </w:r>
    </w:p>
    <w:p>
      <w:pPr>
        <w:tabs>
          <w:tab w:val="clear" w:pos="426"/>
        </w:tabs>
        <w:rPr>
          <w:highlight w:val="none"/>
        </w:rPr>
      </w:pPr>
      <w:r>
        <w:rPr>
          <w:rFonts w:hint="eastAsia"/>
          <w:highlight w:val="none"/>
        </w:rPr>
        <w:t>45．公开招标失败项目转为单一来源谈判方式采购</w:t>
      </w:r>
    </w:p>
    <w:p>
      <w:pPr>
        <w:tabs>
          <w:tab w:val="clear" w:pos="426"/>
        </w:tabs>
        <w:rPr>
          <w:highlight w:val="none"/>
        </w:rPr>
      </w:pPr>
      <w:r>
        <w:rPr>
          <w:rFonts w:hint="eastAsia"/>
          <w:highlight w:val="none"/>
        </w:rPr>
        <w:t>45.1谈判文件</w:t>
      </w:r>
    </w:p>
    <w:p>
      <w:pPr>
        <w:tabs>
          <w:tab w:val="clear" w:pos="426"/>
        </w:tabs>
        <w:rPr>
          <w:highlight w:val="none"/>
        </w:rPr>
      </w:pPr>
      <w:r>
        <w:rPr>
          <w:rFonts w:hint="eastAsia"/>
          <w:highlight w:val="none"/>
        </w:rPr>
        <w:t>45.1.1公开招标失败项目转为单一来源谈判方式采购的，原招标文件转为谈判文件。</w:t>
      </w:r>
    </w:p>
    <w:p>
      <w:pPr>
        <w:tabs>
          <w:tab w:val="clear" w:pos="426"/>
        </w:tabs>
        <w:rPr>
          <w:highlight w:val="none"/>
        </w:rPr>
      </w:pPr>
      <w:r>
        <w:rPr>
          <w:rFonts w:hint="eastAsia"/>
          <w:highlight w:val="none"/>
        </w:rPr>
        <w:t>45.2谈判小组</w:t>
      </w:r>
    </w:p>
    <w:p>
      <w:pPr>
        <w:tabs>
          <w:tab w:val="clear" w:pos="426"/>
        </w:tabs>
        <w:rPr>
          <w:highlight w:val="none"/>
        </w:rPr>
      </w:pPr>
      <w:r>
        <w:rPr>
          <w:rFonts w:hint="eastAsia"/>
          <w:highlight w:val="none"/>
        </w:rPr>
        <w:t>45.2.1公开招标失败项目转为单一来源谈判方式采购后，评标委员会转为谈判小组，专家可重新抽取也可继续采用评标委员会内专家。</w:t>
      </w:r>
    </w:p>
    <w:p>
      <w:pPr>
        <w:tabs>
          <w:tab w:val="clear" w:pos="426"/>
        </w:tabs>
        <w:rPr>
          <w:highlight w:val="none"/>
        </w:rPr>
      </w:pPr>
      <w:r>
        <w:rPr>
          <w:rFonts w:hint="eastAsia"/>
          <w:szCs w:val="21"/>
          <w:highlight w:val="none"/>
        </w:rPr>
        <w:t>45.2.2</w:t>
      </w:r>
      <w:r>
        <w:rPr>
          <w:rFonts w:hint="eastAsia"/>
          <w:highlight w:val="none"/>
        </w:rPr>
        <w:t>谈判前，谈判小组将对单一来源供应商的谈判应答文件进行审查，</w:t>
      </w:r>
      <w:r>
        <w:rPr>
          <w:rFonts w:hint="eastAsia"/>
          <w:bCs/>
          <w:highlight w:val="none"/>
        </w:rPr>
        <w:t>当谈判应答文件出现下列情况之一的将视为无效，按无效标或废标处理，不得进入谈判，</w:t>
      </w:r>
      <w:r>
        <w:rPr>
          <w:rFonts w:hint="eastAsia"/>
          <w:b/>
          <w:highlight w:val="none"/>
        </w:rPr>
        <w:t>具体内容见原招标文件中“资格、符合性评审条款</w:t>
      </w:r>
      <w:r>
        <w:rPr>
          <w:rFonts w:hint="eastAsia"/>
          <w:b/>
          <w:bCs/>
          <w:highlight w:val="none"/>
        </w:rPr>
        <w:t>”</w:t>
      </w:r>
      <w:r>
        <w:rPr>
          <w:rFonts w:hint="eastAsia"/>
          <w:b/>
          <w:highlight w:val="none"/>
        </w:rPr>
        <w:t>部分以及谈判邀请中相应的变动部分。</w:t>
      </w:r>
    </w:p>
    <w:p>
      <w:pPr>
        <w:tabs>
          <w:tab w:val="clear" w:pos="426"/>
        </w:tabs>
        <w:rPr>
          <w:highlight w:val="none"/>
        </w:rPr>
      </w:pPr>
      <w:r>
        <w:rPr>
          <w:rFonts w:hint="eastAsia"/>
          <w:highlight w:val="none"/>
        </w:rPr>
        <w:t>45.3谈判程序</w:t>
      </w:r>
    </w:p>
    <w:p>
      <w:pPr>
        <w:tabs>
          <w:tab w:val="clear" w:pos="426"/>
        </w:tabs>
        <w:rPr>
          <w:highlight w:val="none"/>
        </w:rPr>
      </w:pPr>
      <w:r>
        <w:rPr>
          <w:rFonts w:hint="eastAsia"/>
          <w:highlight w:val="none"/>
        </w:rPr>
        <w:t>45.3.1参加谈判的供应商和谈判小组成员填写谈判登记表，并交验证明文件（法定代表人证明书、法人授权委托书、被授权的谈判代表身份证原件）。</w:t>
      </w:r>
    </w:p>
    <w:p>
      <w:pPr>
        <w:tabs>
          <w:tab w:val="clear" w:pos="426"/>
        </w:tabs>
        <w:rPr>
          <w:highlight w:val="none"/>
        </w:rPr>
      </w:pPr>
      <w:r>
        <w:rPr>
          <w:rFonts w:hint="eastAsia"/>
          <w:highlight w:val="none"/>
        </w:rPr>
        <w:t>45.3</w:t>
      </w:r>
      <w:r>
        <w:rPr>
          <w:highlight w:val="none"/>
        </w:rPr>
        <w:t>.2</w:t>
      </w:r>
      <w:r>
        <w:rPr>
          <w:rFonts w:hint="eastAsia"/>
          <w:highlight w:val="none"/>
        </w:rPr>
        <w:t>谈判小组主持人宣布谈判规则和谈判纪律。</w:t>
      </w:r>
    </w:p>
    <w:p>
      <w:pPr>
        <w:tabs>
          <w:tab w:val="clear" w:pos="426"/>
        </w:tabs>
        <w:rPr>
          <w:highlight w:val="none"/>
        </w:rPr>
      </w:pPr>
      <w:r>
        <w:rPr>
          <w:rFonts w:hint="eastAsia"/>
          <w:highlight w:val="none"/>
        </w:rPr>
        <w:t>45.3</w:t>
      </w:r>
      <w:r>
        <w:rPr>
          <w:highlight w:val="none"/>
        </w:rPr>
        <w:t>.3</w:t>
      </w:r>
      <w:r>
        <w:rPr>
          <w:rFonts w:hint="eastAsia"/>
          <w:highlight w:val="none"/>
        </w:rPr>
        <w:t>在谈判中，谈判小组将就以下谈判内容跟供应商进行谈判：</w:t>
      </w:r>
    </w:p>
    <w:p>
      <w:pPr>
        <w:tabs>
          <w:tab w:val="clear" w:pos="426"/>
        </w:tabs>
        <w:rPr>
          <w:highlight w:val="none"/>
        </w:rPr>
      </w:pPr>
      <w:r>
        <w:rPr>
          <w:rFonts w:hint="eastAsia"/>
          <w:highlight w:val="none"/>
        </w:rPr>
        <w:t>（</w:t>
      </w:r>
      <w:r>
        <w:rPr>
          <w:highlight w:val="none"/>
        </w:rPr>
        <w:t>1</w:t>
      </w:r>
      <w:r>
        <w:rPr>
          <w:rFonts w:hint="eastAsia"/>
          <w:highlight w:val="none"/>
        </w:rPr>
        <w:t>）项目方案；</w:t>
      </w:r>
    </w:p>
    <w:p>
      <w:pPr>
        <w:tabs>
          <w:tab w:val="clear" w:pos="426"/>
        </w:tabs>
        <w:rPr>
          <w:highlight w:val="none"/>
        </w:rPr>
      </w:pPr>
      <w:r>
        <w:rPr>
          <w:rFonts w:hint="eastAsia"/>
          <w:highlight w:val="none"/>
        </w:rPr>
        <w:t>（2）报价；</w:t>
      </w:r>
    </w:p>
    <w:p>
      <w:pPr>
        <w:tabs>
          <w:tab w:val="clear" w:pos="426"/>
        </w:tabs>
        <w:rPr>
          <w:highlight w:val="none"/>
        </w:rPr>
      </w:pPr>
      <w:r>
        <w:rPr>
          <w:rFonts w:hint="eastAsia"/>
          <w:highlight w:val="none"/>
        </w:rPr>
        <w:t>（3）其它相关事项。</w:t>
      </w:r>
    </w:p>
    <w:p>
      <w:pPr>
        <w:tabs>
          <w:tab w:val="clear" w:pos="426"/>
        </w:tabs>
        <w:rPr>
          <w:highlight w:val="none"/>
        </w:rPr>
      </w:pPr>
      <w:r>
        <w:rPr>
          <w:rFonts w:hint="eastAsia"/>
          <w:highlight w:val="none"/>
        </w:rPr>
        <w:t>原招标文件或谈判邀请文件有实质性变动的，谈判小组应当通过采购代理机构通知供应商。</w:t>
      </w:r>
    </w:p>
    <w:p>
      <w:pPr>
        <w:tabs>
          <w:tab w:val="clear" w:pos="426"/>
        </w:tabs>
        <w:rPr>
          <w:highlight w:val="none"/>
        </w:rPr>
      </w:pPr>
      <w:r>
        <w:rPr>
          <w:rFonts w:hint="eastAsia"/>
          <w:highlight w:val="none"/>
        </w:rPr>
        <w:t>45.3.4谈判小组可以用书面形式要求供应商对其谈判应答文件含义不明确的内容作必要的澄清或者说明，重要问题供应商应以书面形式进行澄清、说明。</w:t>
      </w:r>
    </w:p>
    <w:p>
      <w:pPr>
        <w:tabs>
          <w:tab w:val="clear" w:pos="426"/>
        </w:tabs>
        <w:rPr>
          <w:highlight w:val="none"/>
        </w:rPr>
      </w:pPr>
      <w:r>
        <w:rPr>
          <w:rFonts w:hint="eastAsia"/>
          <w:highlight w:val="none"/>
        </w:rPr>
        <w:t>45.3</w:t>
      </w:r>
      <w:r>
        <w:rPr>
          <w:highlight w:val="none"/>
        </w:rPr>
        <w:t>.</w:t>
      </w:r>
      <w:r>
        <w:rPr>
          <w:rFonts w:hint="eastAsia"/>
          <w:highlight w:val="none"/>
        </w:rPr>
        <w:t>5 允许供应商在谈判结束之前根据谈判小组提出的内容进行澄清、修改或完善，或对项目方案进行相应的调整。</w:t>
      </w:r>
    </w:p>
    <w:p>
      <w:pPr>
        <w:tabs>
          <w:tab w:val="clear" w:pos="426"/>
        </w:tabs>
        <w:rPr>
          <w:highlight w:val="none"/>
        </w:rPr>
      </w:pPr>
      <w:r>
        <w:rPr>
          <w:rFonts w:hint="eastAsia"/>
          <w:highlight w:val="none"/>
        </w:rPr>
        <w:t>45.3</w:t>
      </w:r>
      <w:r>
        <w:rPr>
          <w:highlight w:val="none"/>
        </w:rPr>
        <w:t>.</w:t>
      </w:r>
      <w:r>
        <w:rPr>
          <w:rFonts w:hint="eastAsia"/>
          <w:highlight w:val="none"/>
        </w:rPr>
        <w:t>6供应商对谈判应答文件进行修改，都应形成文字材料，并经供应商谈判授权人签字认可。</w:t>
      </w:r>
    </w:p>
    <w:p>
      <w:pPr>
        <w:tabs>
          <w:tab w:val="clear" w:pos="426"/>
        </w:tabs>
        <w:rPr>
          <w:highlight w:val="none"/>
        </w:rPr>
      </w:pPr>
      <w:r>
        <w:rPr>
          <w:rFonts w:hint="eastAsia"/>
          <w:highlight w:val="none"/>
        </w:rPr>
        <w:t>45.3.7谈判小组与单一来源供应商进行谈判。供应商有两次更改机会；供应商应在规定的时间内提出最后更改及书面承诺。</w:t>
      </w:r>
    </w:p>
    <w:p>
      <w:pPr>
        <w:tabs>
          <w:tab w:val="clear" w:pos="426"/>
        </w:tabs>
        <w:rPr>
          <w:szCs w:val="21"/>
          <w:highlight w:val="none"/>
        </w:rPr>
      </w:pPr>
      <w:r>
        <w:rPr>
          <w:rFonts w:hint="eastAsia"/>
          <w:szCs w:val="21"/>
          <w:highlight w:val="none"/>
        </w:rPr>
        <w:t>45.3.8有下列情形之一的，供应商的谈判结果作废标处理，</w:t>
      </w:r>
      <w:r>
        <w:rPr>
          <w:rFonts w:hint="eastAsia"/>
          <w:highlight w:val="none"/>
        </w:rPr>
        <w:t>具体内容见原招标文件中不符合“</w:t>
      </w:r>
      <w:r>
        <w:rPr>
          <w:rFonts w:hint="eastAsia"/>
          <w:b/>
          <w:highlight w:val="none"/>
        </w:rPr>
        <w:t>资格、符合性评审条款</w:t>
      </w:r>
      <w:r>
        <w:rPr>
          <w:rFonts w:hint="eastAsia"/>
          <w:highlight w:val="none"/>
        </w:rPr>
        <w:t>”部分以及谈判邀请中相应的变动部分。</w:t>
      </w:r>
    </w:p>
    <w:p>
      <w:pPr>
        <w:tabs>
          <w:tab w:val="clear" w:pos="426"/>
        </w:tabs>
        <w:rPr>
          <w:highlight w:val="none"/>
        </w:rPr>
      </w:pPr>
      <w:r>
        <w:rPr>
          <w:rFonts w:hint="eastAsia"/>
          <w:highlight w:val="none"/>
        </w:rPr>
        <w:t>45.3</w:t>
      </w:r>
      <w:r>
        <w:rPr>
          <w:highlight w:val="none"/>
        </w:rPr>
        <w:t>.</w:t>
      </w:r>
      <w:r>
        <w:rPr>
          <w:rFonts w:hint="eastAsia"/>
          <w:highlight w:val="none"/>
        </w:rPr>
        <w:t>9谈判结束后，谈判小组根据供应商提供的谈判应答文件、谈判过程中产生的相关资料，对供应商谈判应答文件进行评估与比较，提出书面评审意见。</w:t>
      </w:r>
    </w:p>
    <w:p>
      <w:pPr>
        <w:tabs>
          <w:tab w:val="clear" w:pos="426"/>
        </w:tabs>
        <w:rPr>
          <w:highlight w:val="none"/>
        </w:rPr>
      </w:pPr>
      <w:r>
        <w:rPr>
          <w:rFonts w:hint="eastAsia"/>
          <w:highlight w:val="none"/>
        </w:rPr>
        <w:t>45.3.10谈判小组将对谈判过程进行记录，以存档备查。</w:t>
      </w:r>
    </w:p>
    <w:p>
      <w:pPr>
        <w:tabs>
          <w:tab w:val="clear" w:pos="426"/>
        </w:tabs>
        <w:rPr>
          <w:highlight w:val="none"/>
        </w:rPr>
      </w:pPr>
      <w:r>
        <w:rPr>
          <w:rFonts w:hint="eastAsia"/>
          <w:highlight w:val="none"/>
        </w:rPr>
        <w:t>45.4评标方法和定标原则</w:t>
      </w:r>
    </w:p>
    <w:p>
      <w:pPr>
        <w:tabs>
          <w:tab w:val="clear" w:pos="426"/>
        </w:tabs>
        <w:rPr>
          <w:highlight w:val="none"/>
        </w:rPr>
      </w:pPr>
      <w:r>
        <w:rPr>
          <w:rFonts w:hint="eastAsia"/>
          <w:szCs w:val="21"/>
          <w:highlight w:val="none"/>
        </w:rPr>
        <w:t>45.4.1</w:t>
      </w:r>
      <w:r>
        <w:rPr>
          <w:rFonts w:hint="eastAsia"/>
          <w:b/>
          <w:szCs w:val="21"/>
          <w:highlight w:val="none"/>
        </w:rPr>
        <w:t>单一来源谈判采用最低评标价法。</w:t>
      </w:r>
      <w:r>
        <w:rPr>
          <w:rFonts w:hint="eastAsia"/>
          <w:highlight w:val="none"/>
        </w:rPr>
        <w:t>原招标文件若采用</w:t>
      </w:r>
      <w:r>
        <w:rPr>
          <w:rFonts w:hint="eastAsia"/>
          <w:bCs/>
          <w:highlight w:val="none"/>
        </w:rPr>
        <w:t>最低评标价法以外的评标方法，转为单一来源谈判后，评标方法改为</w:t>
      </w:r>
      <w:r>
        <w:rPr>
          <w:rFonts w:hint="eastAsia"/>
          <w:szCs w:val="21"/>
          <w:highlight w:val="none"/>
        </w:rPr>
        <w:t>最低评标价法。谈判小组</w:t>
      </w:r>
      <w:r>
        <w:rPr>
          <w:rFonts w:hint="eastAsia"/>
          <w:highlight w:val="none"/>
        </w:rPr>
        <w:t>对谈判应答文件进行评审和比较，对供应商最终的方案、服务和投资等谈判结果按本通用条款第37.1.1的</w:t>
      </w:r>
      <w:r>
        <w:rPr>
          <w:rFonts w:hint="eastAsia"/>
          <w:b/>
          <w:bCs/>
          <w:highlight w:val="none"/>
        </w:rPr>
        <w:t>最低评标价法</w:t>
      </w:r>
      <w:r>
        <w:rPr>
          <w:rFonts w:hint="eastAsia"/>
          <w:highlight w:val="none"/>
        </w:rPr>
        <w:t>进行评审。</w:t>
      </w:r>
    </w:p>
    <w:p>
      <w:pPr>
        <w:tabs>
          <w:tab w:val="clear" w:pos="426"/>
        </w:tabs>
        <w:rPr>
          <w:szCs w:val="21"/>
          <w:highlight w:val="none"/>
        </w:rPr>
      </w:pPr>
      <w:r>
        <w:rPr>
          <w:rFonts w:hint="eastAsia"/>
          <w:highlight w:val="none"/>
        </w:rPr>
        <w:t>45.4.2谈判小组向采购代理机构提交书面评标报告，并推荐中标候选人或确定中标人。</w:t>
      </w:r>
    </w:p>
    <w:bookmarkEnd w:id="385"/>
    <w:bookmarkEnd w:id="386"/>
    <w:bookmarkEnd w:id="387"/>
    <w:bookmarkEnd w:id="388"/>
    <w:p>
      <w:pPr>
        <w:pStyle w:val="5"/>
        <w:tabs>
          <w:tab w:val="clear" w:pos="426"/>
        </w:tabs>
        <w:rPr>
          <w:sz w:val="28"/>
          <w:szCs w:val="28"/>
          <w:highlight w:val="none"/>
        </w:rPr>
      </w:pPr>
      <w:bookmarkStart w:id="389" w:name="_Toc432592829"/>
      <w:bookmarkStart w:id="390" w:name="_Toc5875402"/>
      <w:bookmarkStart w:id="391" w:name="_Toc398220537"/>
      <w:bookmarkStart w:id="392" w:name="_Toc6217"/>
      <w:r>
        <w:rPr>
          <w:rFonts w:hint="eastAsia"/>
          <w:highlight w:val="none"/>
        </w:rPr>
        <w:t>第九章 合同的授予与备案</w:t>
      </w:r>
      <w:bookmarkEnd w:id="389"/>
      <w:bookmarkEnd w:id="390"/>
      <w:bookmarkEnd w:id="391"/>
      <w:bookmarkEnd w:id="392"/>
    </w:p>
    <w:p>
      <w:pPr>
        <w:tabs>
          <w:tab w:val="clear" w:pos="426"/>
        </w:tabs>
        <w:rPr>
          <w:highlight w:val="none"/>
        </w:rPr>
      </w:pPr>
      <w:bookmarkStart w:id="393" w:name="_33._合同授予标准"/>
      <w:bookmarkEnd w:id="393"/>
      <w:bookmarkStart w:id="394" w:name="_Toc201401599"/>
      <w:bookmarkStart w:id="395" w:name="_Toc201401407"/>
      <w:bookmarkStart w:id="396" w:name="_Toc201997860"/>
      <w:r>
        <w:rPr>
          <w:rFonts w:hint="eastAsia"/>
          <w:highlight w:val="none"/>
        </w:rPr>
        <w:t xml:space="preserve">46．  </w:t>
      </w:r>
      <w:bookmarkEnd w:id="394"/>
      <w:bookmarkEnd w:id="395"/>
      <w:r>
        <w:rPr>
          <w:rFonts w:hint="eastAsia"/>
          <w:highlight w:val="none"/>
        </w:rPr>
        <w:t>履约担保</w:t>
      </w:r>
      <w:bookmarkEnd w:id="396"/>
    </w:p>
    <w:p>
      <w:pPr>
        <w:tabs>
          <w:tab w:val="clear" w:pos="426"/>
        </w:tabs>
        <w:rPr>
          <w:highlight w:val="none"/>
        </w:rPr>
      </w:pPr>
      <w:r>
        <w:rPr>
          <w:rFonts w:hint="eastAsia"/>
          <w:highlight w:val="none"/>
        </w:rPr>
        <w:t>46.1  本项目履约担保的相关要求：详见“投标须知前附表”。</w:t>
      </w:r>
    </w:p>
    <w:p>
      <w:pPr>
        <w:tabs>
          <w:tab w:val="clear" w:pos="426"/>
        </w:tabs>
        <w:rPr>
          <w:highlight w:val="none"/>
        </w:rPr>
      </w:pPr>
      <w:r>
        <w:rPr>
          <w:rFonts w:hint="eastAsia"/>
          <w:highlight w:val="none"/>
        </w:rPr>
        <w:t>46.2  在签订合同前，中标人应按规定向采购人提交履约担保，采用履约保函形式的可参照使用本招标文件提供的格式。</w:t>
      </w:r>
    </w:p>
    <w:p>
      <w:pPr>
        <w:tabs>
          <w:tab w:val="clear" w:pos="426"/>
        </w:tabs>
        <w:rPr>
          <w:highlight w:val="none"/>
        </w:rPr>
      </w:pPr>
      <w:r>
        <w:rPr>
          <w:rFonts w:hint="eastAsia"/>
          <w:highlight w:val="none"/>
        </w:rPr>
        <w:t>46.3  联合体中标的，其履约担保由联合体牵头人提交，并应符合本节第42.1条、第45.2条的规定。</w:t>
      </w:r>
    </w:p>
    <w:p>
      <w:pPr>
        <w:tabs>
          <w:tab w:val="clear" w:pos="426"/>
        </w:tabs>
        <w:rPr>
          <w:highlight w:val="none"/>
        </w:rPr>
      </w:pPr>
      <w:r>
        <w:rPr>
          <w:rFonts w:hint="eastAsia"/>
          <w:highlight w:val="none"/>
        </w:rPr>
        <w:t>46.4  如果中标人拒不提交本节第42.1条、第42.2条要求的履约担保的，采购人可取消其中标资格，并没收其投标担保。</w:t>
      </w:r>
    </w:p>
    <w:p>
      <w:pPr>
        <w:tabs>
          <w:tab w:val="clear" w:pos="426"/>
        </w:tabs>
        <w:rPr>
          <w:highlight w:val="none"/>
        </w:rPr>
      </w:pPr>
      <w:bookmarkStart w:id="397" w:name="_Toc201997862"/>
      <w:bookmarkStart w:id="398" w:name="_Toc201401600"/>
      <w:bookmarkStart w:id="399" w:name="_Toc201401408"/>
      <w:r>
        <w:rPr>
          <w:rFonts w:hint="eastAsia"/>
          <w:highlight w:val="none"/>
        </w:rPr>
        <w:t>47．  签订合同</w:t>
      </w:r>
      <w:bookmarkEnd w:id="397"/>
      <w:bookmarkEnd w:id="398"/>
      <w:bookmarkEnd w:id="399"/>
    </w:p>
    <w:p>
      <w:pPr>
        <w:tabs>
          <w:tab w:val="clear" w:pos="426"/>
        </w:tabs>
        <w:rPr>
          <w:highlight w:val="none"/>
        </w:rPr>
      </w:pPr>
      <w:r>
        <w:rPr>
          <w:rFonts w:hint="eastAsia"/>
          <w:highlight w:val="none"/>
        </w:rPr>
        <w:t>47.1  采购人和中标人应当按“投标须知前附表”的规定，依据招标文件和中标人的投标文件订立书面合同。</w:t>
      </w:r>
    </w:p>
    <w:p>
      <w:pPr>
        <w:tabs>
          <w:tab w:val="clear" w:pos="426"/>
        </w:tabs>
        <w:rPr>
          <w:highlight w:val="none"/>
        </w:rPr>
      </w:pPr>
      <w:r>
        <w:rPr>
          <w:rFonts w:hint="eastAsia"/>
          <w:highlight w:val="none"/>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pPr>
        <w:pStyle w:val="5"/>
        <w:tabs>
          <w:tab w:val="clear" w:pos="426"/>
        </w:tabs>
        <w:rPr>
          <w:highlight w:val="none"/>
        </w:rPr>
      </w:pPr>
      <w:bookmarkStart w:id="400" w:name="_Toc398220538"/>
      <w:bookmarkStart w:id="401" w:name="_Toc5875403"/>
      <w:bookmarkStart w:id="402" w:name="_Toc432592830"/>
      <w:bookmarkStart w:id="403" w:name="_Toc28457"/>
      <w:r>
        <w:rPr>
          <w:rFonts w:hint="eastAsia"/>
          <w:highlight w:val="none"/>
        </w:rPr>
        <w:t>第十章 质疑受理</w:t>
      </w:r>
      <w:bookmarkEnd w:id="400"/>
      <w:bookmarkEnd w:id="401"/>
      <w:bookmarkEnd w:id="402"/>
      <w:bookmarkEnd w:id="403"/>
    </w:p>
    <w:p>
      <w:pPr>
        <w:tabs>
          <w:tab w:val="clear" w:pos="426"/>
        </w:tabs>
        <w:rPr>
          <w:highlight w:val="none"/>
        </w:rPr>
      </w:pPr>
      <w:r>
        <w:rPr>
          <w:rFonts w:hint="eastAsia"/>
          <w:highlight w:val="none"/>
        </w:rPr>
        <w:t>48.质疑受理机构</w:t>
      </w:r>
    </w:p>
    <w:p>
      <w:pPr>
        <w:tabs>
          <w:tab w:val="clear" w:pos="426"/>
        </w:tabs>
        <w:rPr>
          <w:sz w:val="22"/>
          <w:szCs w:val="22"/>
          <w:highlight w:val="none"/>
        </w:rPr>
      </w:pPr>
      <w:r>
        <w:rPr>
          <w:rFonts w:hint="eastAsia"/>
          <w:highlight w:val="none"/>
        </w:rPr>
        <w:t>采购代理机构及采购人</w:t>
      </w:r>
      <w:r>
        <w:rPr>
          <w:highlight w:val="none"/>
        </w:rPr>
        <w:t>负责受理和答复质疑</w:t>
      </w:r>
      <w:r>
        <w:rPr>
          <w:sz w:val="22"/>
          <w:szCs w:val="22"/>
          <w:highlight w:val="none"/>
        </w:rPr>
        <w:t>。</w:t>
      </w:r>
    </w:p>
    <w:p>
      <w:pPr>
        <w:tabs>
          <w:tab w:val="clear" w:pos="426"/>
        </w:tabs>
        <w:rPr>
          <w:highlight w:val="none"/>
        </w:rPr>
      </w:pPr>
      <w:r>
        <w:rPr>
          <w:rFonts w:hint="eastAsia"/>
          <w:highlight w:val="none"/>
        </w:rPr>
        <w:t>49.质疑处理原则</w:t>
      </w:r>
    </w:p>
    <w:p>
      <w:pPr>
        <w:tabs>
          <w:tab w:val="clear" w:pos="426"/>
        </w:tabs>
        <w:rPr>
          <w:highlight w:val="none"/>
        </w:rPr>
      </w:pPr>
      <w:r>
        <w:rPr>
          <w:rFonts w:hint="eastAsia"/>
          <w:highlight w:val="none"/>
        </w:rPr>
        <w:t>49.1</w:t>
      </w:r>
      <w:r>
        <w:rPr>
          <w:highlight w:val="none"/>
        </w:rPr>
        <w:t>质疑处理遵循公平、公正、规范、高效的原则。</w:t>
      </w:r>
    </w:p>
    <w:p>
      <w:pPr>
        <w:tabs>
          <w:tab w:val="clear" w:pos="426"/>
        </w:tabs>
        <w:rPr>
          <w:highlight w:val="none"/>
        </w:rPr>
      </w:pPr>
      <w:r>
        <w:rPr>
          <w:rFonts w:hint="eastAsia"/>
          <w:highlight w:val="none"/>
        </w:rPr>
        <w:t>49.2</w:t>
      </w:r>
      <w:r>
        <w:rPr>
          <w:highlight w:val="none"/>
        </w:rPr>
        <w:t>供应商质疑实行实名制和“谁质疑，谁举证”的原则，质疑应有具体的事项及事实根据。</w:t>
      </w:r>
    </w:p>
    <w:p>
      <w:pPr>
        <w:tabs>
          <w:tab w:val="clear" w:pos="426"/>
        </w:tabs>
        <w:rPr>
          <w:highlight w:val="none"/>
        </w:rPr>
      </w:pPr>
      <w:r>
        <w:rPr>
          <w:rFonts w:hint="eastAsia"/>
          <w:highlight w:val="none"/>
        </w:rPr>
        <w:t>50.质疑受理的时效和范围</w:t>
      </w:r>
    </w:p>
    <w:p>
      <w:pPr>
        <w:tabs>
          <w:tab w:val="clear" w:pos="426"/>
        </w:tabs>
        <w:rPr>
          <w:highlight w:val="none"/>
        </w:rPr>
      </w:pPr>
      <w:r>
        <w:rPr>
          <w:rFonts w:hint="eastAsia"/>
          <w:highlight w:val="none"/>
        </w:rPr>
        <w:t>50.1供应商认为采购文件、采购过程和中标、成交结果使自己权益受到损害的，可以在知道或者应知其权益受到损害之日起七个工作日内，以书面形式向采购代理机构提出质疑。</w:t>
      </w:r>
    </w:p>
    <w:p>
      <w:pPr>
        <w:tabs>
          <w:tab w:val="clear" w:pos="426"/>
        </w:tabs>
        <w:rPr>
          <w:highlight w:val="none"/>
        </w:rPr>
      </w:pPr>
      <w:r>
        <w:rPr>
          <w:rFonts w:hint="eastAsia"/>
          <w:highlight w:val="none"/>
        </w:rPr>
        <w:t>50.2供应商对采购文件有疑问的，采购代理机构及采购人按答疑程序处理；供应商对采购文件有异议的，按质疑程序处理。</w:t>
      </w:r>
    </w:p>
    <w:p>
      <w:pPr>
        <w:tabs>
          <w:tab w:val="clear" w:pos="426"/>
        </w:tabs>
        <w:rPr>
          <w:highlight w:val="none"/>
        </w:rPr>
      </w:pPr>
      <w:r>
        <w:rPr>
          <w:rFonts w:hint="eastAsia"/>
          <w:highlight w:val="none"/>
        </w:rPr>
        <w:t>51.质疑条件</w:t>
      </w:r>
    </w:p>
    <w:p>
      <w:pPr>
        <w:tabs>
          <w:tab w:val="clear" w:pos="426"/>
        </w:tabs>
        <w:rPr>
          <w:highlight w:val="none"/>
        </w:rPr>
      </w:pPr>
      <w:r>
        <w:rPr>
          <w:rFonts w:hint="eastAsia"/>
          <w:highlight w:val="none"/>
        </w:rPr>
        <w:t>51.1提出质疑的应是直接参与相应采购项目的供应商。以联合体形式参与的，由联合体共同提出；</w:t>
      </w:r>
    </w:p>
    <w:p>
      <w:pPr>
        <w:tabs>
          <w:tab w:val="clear" w:pos="426"/>
        </w:tabs>
        <w:rPr>
          <w:highlight w:val="none"/>
        </w:rPr>
      </w:pPr>
      <w:r>
        <w:rPr>
          <w:rFonts w:hint="eastAsia"/>
          <w:highlight w:val="none"/>
        </w:rPr>
        <w:t>51.2提供质疑的项目名称和编号、质疑供应商的单位名称、详细地址、邮政编码、联系人及联系电话等基本情况；</w:t>
      </w:r>
    </w:p>
    <w:p>
      <w:pPr>
        <w:tabs>
          <w:tab w:val="clear" w:pos="426"/>
        </w:tabs>
        <w:rPr>
          <w:highlight w:val="none"/>
        </w:rPr>
      </w:pPr>
      <w:r>
        <w:rPr>
          <w:rFonts w:hint="eastAsia"/>
          <w:highlight w:val="none"/>
        </w:rPr>
        <w:t>51.3有质疑的具体事项、请求及理由，并附相关证据材料；</w:t>
      </w:r>
    </w:p>
    <w:p>
      <w:pPr>
        <w:tabs>
          <w:tab w:val="clear" w:pos="426"/>
        </w:tabs>
        <w:rPr>
          <w:highlight w:val="none"/>
        </w:rPr>
      </w:pPr>
      <w:r>
        <w:rPr>
          <w:rFonts w:hint="eastAsia"/>
          <w:highlight w:val="none"/>
        </w:rPr>
        <w:t>51.4质疑书加盖公章，被授权人进行质疑的同时提交法人授权委托书；</w:t>
      </w:r>
    </w:p>
    <w:p>
      <w:pPr>
        <w:tabs>
          <w:tab w:val="clear" w:pos="426"/>
        </w:tabs>
        <w:rPr>
          <w:highlight w:val="none"/>
        </w:rPr>
      </w:pPr>
      <w:r>
        <w:rPr>
          <w:rFonts w:hint="eastAsia"/>
          <w:highlight w:val="none"/>
        </w:rPr>
        <w:t>51.5质疑材料中有外文资料的，应一并附上中文译本，并以中文译本为准。</w:t>
      </w:r>
    </w:p>
    <w:p>
      <w:pPr>
        <w:tabs>
          <w:tab w:val="clear" w:pos="426"/>
        </w:tabs>
        <w:rPr>
          <w:highlight w:val="none"/>
        </w:rPr>
      </w:pPr>
      <w:r>
        <w:rPr>
          <w:rFonts w:hint="eastAsia"/>
          <w:highlight w:val="none"/>
        </w:rPr>
        <w:t>51.6质疑不得超过质疑受理的时效和范围。</w:t>
      </w:r>
    </w:p>
    <w:p>
      <w:pPr>
        <w:tabs>
          <w:tab w:val="clear" w:pos="426"/>
        </w:tabs>
        <w:rPr>
          <w:highlight w:val="none"/>
        </w:rPr>
      </w:pPr>
      <w:r>
        <w:rPr>
          <w:rFonts w:hint="eastAsia"/>
          <w:highlight w:val="none"/>
        </w:rPr>
        <w:t>不符合上述条件的，我采购代理机构不予受理。</w:t>
      </w:r>
    </w:p>
    <w:p>
      <w:pPr>
        <w:tabs>
          <w:tab w:val="clear" w:pos="426"/>
        </w:tabs>
        <w:rPr>
          <w:highlight w:val="none"/>
        </w:rPr>
      </w:pPr>
      <w:r>
        <w:rPr>
          <w:rFonts w:hint="eastAsia"/>
          <w:highlight w:val="none"/>
        </w:rPr>
        <w:t>52.受理质疑办理程序</w:t>
      </w:r>
    </w:p>
    <w:p>
      <w:pPr>
        <w:tabs>
          <w:tab w:val="clear" w:pos="426"/>
        </w:tabs>
        <w:rPr>
          <w:highlight w:val="none"/>
        </w:rPr>
      </w:pPr>
      <w:r>
        <w:rPr>
          <w:rFonts w:hint="eastAsia"/>
          <w:highlight w:val="none"/>
        </w:rPr>
        <w:t>52.1先与质疑供应商进行沟通，以消除因误解或对采购规则和程序的不了解而引起的质疑。对沟通情况满意的，供应商撤回质疑，质疑处理程序终止。</w:t>
      </w:r>
    </w:p>
    <w:p>
      <w:pPr>
        <w:tabs>
          <w:tab w:val="clear" w:pos="426"/>
        </w:tabs>
        <w:rPr>
          <w:highlight w:val="none"/>
        </w:rPr>
      </w:pPr>
      <w:r>
        <w:rPr>
          <w:rFonts w:hint="eastAsia"/>
          <w:highlight w:val="none"/>
        </w:rPr>
        <w:t>52.2处理质疑一般进行书面审查；必要时听取各方当事人的陈述和申辩、进行相关调查；组织原评标委员会或谈判小组进行复议。</w:t>
      </w:r>
    </w:p>
    <w:p>
      <w:pPr>
        <w:tabs>
          <w:tab w:val="clear" w:pos="426"/>
        </w:tabs>
        <w:rPr>
          <w:highlight w:val="none"/>
        </w:rPr>
      </w:pPr>
      <w:r>
        <w:rPr>
          <w:rFonts w:hint="eastAsia"/>
          <w:highlight w:val="none"/>
        </w:rPr>
        <w:t>52.3在质疑处理期间，采购代理机构视情形决定暂停采购活动。</w:t>
      </w:r>
    </w:p>
    <w:p>
      <w:pPr>
        <w:tabs>
          <w:tab w:val="clear" w:pos="426"/>
        </w:tabs>
        <w:rPr>
          <w:highlight w:val="none"/>
        </w:rPr>
      </w:pPr>
      <w:r>
        <w:rPr>
          <w:rFonts w:hint="eastAsia"/>
          <w:highlight w:val="none"/>
        </w:rPr>
        <w:t>52.4采购代理机构原则上在质疑受理之日起十个工作日内书面答复质疑供应商。答复函以直接领取、传真或邮寄方式送达。</w:t>
      </w:r>
    </w:p>
    <w:p>
      <w:pPr>
        <w:tabs>
          <w:tab w:val="clear" w:pos="426"/>
        </w:tabs>
        <w:rPr>
          <w:highlight w:val="none"/>
        </w:rPr>
      </w:pPr>
      <w:r>
        <w:rPr>
          <w:rFonts w:hint="eastAsia"/>
          <w:highlight w:val="none"/>
        </w:rPr>
        <w:t>52.5供应商向采购代理机构提出质疑后，在质疑处理期限内，不得同时向其他方面提起同一质疑。质疑供应商如已就同一事项提起投诉、提请行政复议或诉讼的，质疑程序终止。</w:t>
      </w:r>
    </w:p>
    <w:p>
      <w:pPr>
        <w:tabs>
          <w:tab w:val="clear" w:pos="426"/>
        </w:tabs>
        <w:rPr>
          <w:highlight w:val="none"/>
        </w:rPr>
      </w:pPr>
      <w:r>
        <w:rPr>
          <w:rFonts w:hint="eastAsia"/>
          <w:highlight w:val="none"/>
        </w:rPr>
        <w:t>53.相关责任与义务</w:t>
      </w:r>
    </w:p>
    <w:p>
      <w:pPr>
        <w:tabs>
          <w:tab w:val="clear" w:pos="426"/>
        </w:tabs>
        <w:rPr>
          <w:highlight w:val="none"/>
        </w:rPr>
      </w:pPr>
      <w:r>
        <w:rPr>
          <w:rFonts w:hint="eastAsia"/>
          <w:highlight w:val="none"/>
        </w:rPr>
        <w:t>53.1采购单位、评标专家和相关供应商等当事人应积极配合采购代理机构进行质疑调查，如实反映情况，及时提供证明材料。</w:t>
      </w:r>
    </w:p>
    <w:p>
      <w:pPr>
        <w:tabs>
          <w:tab w:val="clear" w:pos="426"/>
        </w:tabs>
        <w:rPr>
          <w:highlight w:val="none"/>
        </w:rPr>
      </w:pPr>
      <w:r>
        <w:rPr>
          <w:rFonts w:hint="eastAsia"/>
          <w:highlight w:val="none"/>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pPr>
        <w:tabs>
          <w:tab w:val="clear" w:pos="426"/>
        </w:tabs>
        <w:rPr>
          <w:highlight w:val="none"/>
        </w:rPr>
      </w:pPr>
      <w:r>
        <w:rPr>
          <w:rFonts w:hint="eastAsia"/>
          <w:highlight w:val="none"/>
        </w:rPr>
        <w:t>53.2.1捏造事实或提供虚假证明材料的；</w:t>
      </w:r>
    </w:p>
    <w:p>
      <w:pPr>
        <w:tabs>
          <w:tab w:val="clear" w:pos="426"/>
        </w:tabs>
        <w:rPr>
          <w:highlight w:val="none"/>
        </w:rPr>
      </w:pPr>
      <w:r>
        <w:rPr>
          <w:rFonts w:hint="eastAsia"/>
          <w:highlight w:val="none"/>
        </w:rPr>
        <w:t>53.2.2假冒他人名义进行质疑的；</w:t>
      </w:r>
    </w:p>
    <w:p>
      <w:pPr>
        <w:tabs>
          <w:tab w:val="clear" w:pos="426"/>
        </w:tabs>
        <w:rPr>
          <w:highlight w:val="none"/>
        </w:rPr>
      </w:pPr>
      <w:r>
        <w:rPr>
          <w:rFonts w:hint="eastAsia"/>
          <w:highlight w:val="none"/>
        </w:rPr>
        <w:t>53.2.3拒不配合进行有关调查、情节严重的。</w:t>
      </w:r>
    </w:p>
    <w:p>
      <w:pPr>
        <w:tabs>
          <w:tab w:val="clear" w:pos="426"/>
        </w:tabs>
        <w:rPr>
          <w:b/>
          <w:highlight w:val="none"/>
        </w:rPr>
      </w:pPr>
      <w:bookmarkStart w:id="404" w:name="_Toc201401601"/>
      <w:bookmarkStart w:id="405" w:name="_Toc201997863"/>
      <w:bookmarkStart w:id="406" w:name="_Toc201401409"/>
      <w:r>
        <w:rPr>
          <w:rFonts w:hint="eastAsia"/>
          <w:highlight w:val="none"/>
        </w:rPr>
        <w:t xml:space="preserve">54．  </w:t>
      </w:r>
      <w:r>
        <w:rPr>
          <w:rFonts w:hint="eastAsia"/>
          <w:b/>
          <w:highlight w:val="none"/>
        </w:rPr>
        <w:t>其他</w:t>
      </w:r>
      <w:bookmarkEnd w:id="404"/>
      <w:bookmarkEnd w:id="405"/>
      <w:bookmarkEnd w:id="406"/>
    </w:p>
    <w:p>
      <w:pPr>
        <w:tabs>
          <w:tab w:val="clear" w:pos="426"/>
        </w:tabs>
        <w:rPr>
          <w:highlight w:val="none"/>
        </w:rPr>
      </w:pPr>
      <w:r>
        <w:rPr>
          <w:rFonts w:hint="eastAsia"/>
          <w:highlight w:val="none"/>
        </w:rPr>
        <w:t>54.1  本招标文件的解释权归采购代理机构所有，采购代理机构在征得采购人或相关主管部门同意后，有权在法律允许范围内调整本次招标活动的细节及保留最终解释权。</w:t>
      </w:r>
    </w:p>
    <w:p>
      <w:pPr>
        <w:tabs>
          <w:tab w:val="clear" w:pos="426"/>
        </w:tabs>
        <w:rPr>
          <w:highlight w:val="none"/>
        </w:rPr>
      </w:pPr>
      <w:r>
        <w:rPr>
          <w:rFonts w:hint="eastAsia"/>
          <w:highlight w:val="none"/>
        </w:rPr>
        <w:t>54.2 采购代理机构向投标人提供的资料和数据，是采购代理机构现有的能供投标人利用的资料，采购代理机构对投标人由此而作出的推论、理解和结论概不负责。</w:t>
      </w:r>
    </w:p>
    <w:p>
      <w:pPr>
        <w:tabs>
          <w:tab w:val="clear" w:pos="426"/>
        </w:tabs>
        <w:rPr>
          <w:highlight w:val="none"/>
        </w:rPr>
      </w:pPr>
      <w:r>
        <w:rPr>
          <w:rFonts w:hint="eastAsia"/>
          <w:highlight w:val="none"/>
        </w:rPr>
        <w:t>54.3 如果投标人实质上不符合投标资格，即使已购买招标文件、参加投标并缴纳各种费用，采购代理机构或采购人可以随时取消其投标或中标资格，采购代理机构或采购人对该投标人的一切损失概不责任。</w:t>
      </w:r>
    </w:p>
    <w:p>
      <w:pPr>
        <w:tabs>
          <w:tab w:val="clear" w:pos="426"/>
        </w:tabs>
        <w:rPr>
          <w:highlight w:val="none"/>
        </w:rPr>
      </w:pPr>
      <w:r>
        <w:rPr>
          <w:rFonts w:hint="eastAsia"/>
          <w:highlight w:val="none"/>
        </w:rPr>
        <w:t>54.4 中标无效的，发出的中标通知书和签订的合同自始没有法律约束力，但不影响合同中存在的有关解决争议方法的条款的效力。</w:t>
      </w:r>
    </w:p>
    <w:p>
      <w:pPr>
        <w:tabs>
          <w:tab w:val="clear" w:pos="426"/>
        </w:tabs>
        <w:rPr>
          <w:highlight w:val="none"/>
        </w:rPr>
      </w:pPr>
      <w:r>
        <w:rPr>
          <w:rFonts w:hint="eastAsia"/>
          <w:highlight w:val="none"/>
        </w:rPr>
        <w:t>54.5 本招标文件所有的附件与本招标文件具有同等效力。</w:t>
      </w:r>
    </w:p>
    <w:p>
      <w:pPr>
        <w:tabs>
          <w:tab w:val="clear" w:pos="426"/>
        </w:tabs>
        <w:rPr>
          <w:highlight w:val="none"/>
        </w:rPr>
      </w:pPr>
    </w:p>
    <w:p>
      <w:pPr>
        <w:pStyle w:val="42"/>
        <w:tabs>
          <w:tab w:val="clear" w:pos="426"/>
        </w:tabs>
        <w:rPr>
          <w:highlight w:val="none"/>
        </w:rPr>
      </w:pPr>
      <w:r>
        <w:rPr>
          <w:rFonts w:ascii="宋体" w:hAnsi="宋体"/>
          <w:highlight w:val="none"/>
        </w:rPr>
        <w:br w:type="page"/>
      </w:r>
      <w:bookmarkStart w:id="407" w:name="_Toc5875404"/>
      <w:bookmarkStart w:id="408" w:name="_Toc8594"/>
      <w:r>
        <w:rPr>
          <w:rFonts w:hint="eastAsia"/>
          <w:highlight w:val="none"/>
        </w:rPr>
        <w:t>招标代理服务取费说明</w:t>
      </w:r>
      <w:bookmarkEnd w:id="407"/>
      <w:bookmarkEnd w:id="408"/>
    </w:p>
    <w:p>
      <w:pPr>
        <w:tabs>
          <w:tab w:val="clear" w:pos="426"/>
        </w:tabs>
        <w:spacing w:line="300" w:lineRule="auto"/>
        <w:ind w:firstLine="440" w:firstLineChars="200"/>
        <w:rPr>
          <w:sz w:val="22"/>
          <w:highlight w:val="none"/>
        </w:rPr>
      </w:pPr>
    </w:p>
    <w:p>
      <w:pPr>
        <w:tabs>
          <w:tab w:val="clear" w:pos="426"/>
        </w:tabs>
        <w:spacing w:line="300" w:lineRule="auto"/>
        <w:ind w:firstLine="440" w:firstLineChars="200"/>
        <w:rPr>
          <w:sz w:val="22"/>
          <w:highlight w:val="none"/>
        </w:rPr>
      </w:pPr>
      <w:r>
        <w:rPr>
          <w:rFonts w:hint="eastAsia"/>
          <w:sz w:val="22"/>
          <w:highlight w:val="none"/>
        </w:rPr>
        <w:t>根据《深圳市财政委员会关于规范深圳市社会采购代理机构管理有关事项的补充通知》（深财购〔</w:t>
      </w:r>
      <w:r>
        <w:rPr>
          <w:sz w:val="22"/>
          <w:highlight w:val="none"/>
        </w:rPr>
        <w:t>2018〕27号）</w:t>
      </w:r>
      <w:r>
        <w:rPr>
          <w:rFonts w:hint="eastAsia"/>
          <w:sz w:val="22"/>
          <w:highlight w:val="none"/>
        </w:rPr>
        <w:t xml:space="preserve">的规定，招标代理服务收费将以项目中标金额为计算基数，按差额定率累进法计算，并向中标人收取，收费标准如下表所列： </w:t>
      </w:r>
    </w:p>
    <w:p>
      <w:pPr>
        <w:tabs>
          <w:tab w:val="clear" w:pos="426"/>
        </w:tabs>
        <w:spacing w:line="300" w:lineRule="auto"/>
        <w:ind w:firstLine="440" w:firstLineChars="200"/>
        <w:rPr>
          <w:sz w:val="22"/>
          <w:highlight w:val="none"/>
        </w:rPr>
      </w:pPr>
      <w:r>
        <w:rPr>
          <w:rFonts w:hint="eastAsia"/>
          <w:sz w:val="22"/>
          <w:highlight w:val="none"/>
        </w:rPr>
        <w:t>招标代理服务收费标准</w:t>
      </w:r>
    </w:p>
    <w:tbl>
      <w:tblPr>
        <w:tblStyle w:val="44"/>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6"/>
        <w:gridCol w:w="1845"/>
        <w:gridCol w:w="1845"/>
        <w:gridCol w:w="1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2986" w:type="dxa"/>
            <w:vAlign w:val="center"/>
          </w:tcPr>
          <w:p>
            <w:pPr>
              <w:tabs>
                <w:tab w:val="clear" w:pos="426"/>
              </w:tabs>
              <w:spacing w:line="240" w:lineRule="auto"/>
              <w:jc w:val="right"/>
              <w:rPr>
                <w:sz w:val="22"/>
                <w:highlight w:val="none"/>
              </w:rPr>
            </w:pPr>
            <w:r>
              <w:rPr>
                <w:rFonts w:hint="eastAsia"/>
                <w:sz w:val="22"/>
                <w:highlight w:val="none"/>
              </w:rPr>
              <w:t>项目类型</w:t>
            </w:r>
          </w:p>
          <w:p>
            <w:pPr>
              <w:tabs>
                <w:tab w:val="clear" w:pos="426"/>
              </w:tabs>
              <w:spacing w:line="240" w:lineRule="auto"/>
              <w:jc w:val="center"/>
              <w:rPr>
                <w:sz w:val="22"/>
                <w:highlight w:val="none"/>
              </w:rPr>
            </w:pPr>
            <w:r>
              <w:rPr>
                <w:rFonts w:hint="eastAsia"/>
                <w:sz w:val="22"/>
                <w:highlight w:val="none"/>
              </w:rPr>
              <w:t>费率</w:t>
            </w:r>
          </w:p>
          <w:p>
            <w:pPr>
              <w:tabs>
                <w:tab w:val="clear" w:pos="426"/>
              </w:tabs>
              <w:spacing w:line="240" w:lineRule="auto"/>
              <w:rPr>
                <w:sz w:val="22"/>
                <w:highlight w:val="none"/>
              </w:rPr>
            </w:pPr>
            <w:r>
              <w:rPr>
                <w:rFonts w:hint="eastAsia"/>
                <w:sz w:val="22"/>
                <w:highlight w:val="none"/>
              </w:rPr>
              <w:t>中标金额</w:t>
            </w:r>
          </w:p>
        </w:tc>
        <w:tc>
          <w:tcPr>
            <w:tcW w:w="1845" w:type="dxa"/>
            <w:vAlign w:val="center"/>
          </w:tcPr>
          <w:p>
            <w:pPr>
              <w:tabs>
                <w:tab w:val="clear" w:pos="426"/>
              </w:tabs>
              <w:spacing w:line="240" w:lineRule="auto"/>
              <w:jc w:val="center"/>
              <w:rPr>
                <w:sz w:val="22"/>
                <w:highlight w:val="none"/>
              </w:rPr>
            </w:pPr>
            <w:r>
              <w:rPr>
                <w:rFonts w:hint="eastAsia"/>
                <w:sz w:val="22"/>
                <w:highlight w:val="none"/>
              </w:rPr>
              <w:t>货物采购</w:t>
            </w:r>
          </w:p>
        </w:tc>
        <w:tc>
          <w:tcPr>
            <w:tcW w:w="1845" w:type="dxa"/>
            <w:vAlign w:val="center"/>
          </w:tcPr>
          <w:p>
            <w:pPr>
              <w:tabs>
                <w:tab w:val="clear" w:pos="426"/>
              </w:tabs>
              <w:spacing w:line="240" w:lineRule="auto"/>
              <w:jc w:val="center"/>
              <w:rPr>
                <w:sz w:val="22"/>
                <w:highlight w:val="none"/>
              </w:rPr>
            </w:pPr>
            <w:r>
              <w:rPr>
                <w:rFonts w:hint="eastAsia"/>
                <w:sz w:val="22"/>
                <w:highlight w:val="none"/>
              </w:rPr>
              <w:t>服务采购</w:t>
            </w:r>
          </w:p>
        </w:tc>
        <w:tc>
          <w:tcPr>
            <w:tcW w:w="1846" w:type="dxa"/>
            <w:vAlign w:val="center"/>
          </w:tcPr>
          <w:p>
            <w:pPr>
              <w:tabs>
                <w:tab w:val="clear" w:pos="426"/>
              </w:tabs>
              <w:spacing w:line="240" w:lineRule="auto"/>
              <w:jc w:val="center"/>
              <w:rPr>
                <w:sz w:val="22"/>
                <w:highlight w:val="none"/>
              </w:rPr>
            </w:pPr>
            <w:r>
              <w:rPr>
                <w:rFonts w:hint="eastAsia"/>
                <w:sz w:val="22"/>
                <w:highlight w:val="none"/>
              </w:rPr>
              <w:t>工程采购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100万元以下</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1.500%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1.500%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100万元（含）-500万元</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1.100%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0.800%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0.700%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500万元（含）-1000万元</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0.800%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0.450%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0.550%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1000万元（含）-5000万元</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0.500%</w:t>
            </w:r>
          </w:p>
        </w:tc>
        <w:tc>
          <w:tcPr>
            <w:tcW w:w="1845" w:type="dxa"/>
            <w:vAlign w:val="center"/>
          </w:tcPr>
          <w:p>
            <w:pPr>
              <w:spacing w:line="240" w:lineRule="auto"/>
              <w:jc w:val="center"/>
              <w:rPr>
                <w:color w:val="000000"/>
                <w:sz w:val="22"/>
                <w:szCs w:val="22"/>
                <w:highlight w:val="none"/>
              </w:rPr>
            </w:pPr>
            <w:r>
              <w:rPr>
                <w:rFonts w:hint="eastAsia"/>
                <w:color w:val="000000"/>
                <w:sz w:val="22"/>
                <w:szCs w:val="22"/>
                <w:highlight w:val="none"/>
              </w:rPr>
              <w:t>0.250%</w:t>
            </w:r>
          </w:p>
        </w:tc>
        <w:tc>
          <w:tcPr>
            <w:tcW w:w="1846" w:type="dxa"/>
            <w:vAlign w:val="center"/>
          </w:tcPr>
          <w:p>
            <w:pPr>
              <w:spacing w:line="240" w:lineRule="auto"/>
              <w:jc w:val="center"/>
              <w:rPr>
                <w:color w:val="000000"/>
                <w:sz w:val="22"/>
                <w:szCs w:val="22"/>
                <w:highlight w:val="none"/>
              </w:rPr>
            </w:pPr>
            <w:r>
              <w:rPr>
                <w:rFonts w:hint="eastAsia"/>
                <w:color w:val="000000"/>
                <w:sz w:val="22"/>
                <w:szCs w:val="22"/>
                <w:highlight w:val="none"/>
              </w:rPr>
              <w:t>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5000万元（含）-1亿元</w:t>
            </w:r>
          </w:p>
        </w:tc>
        <w:tc>
          <w:tcPr>
            <w:tcW w:w="1845" w:type="dxa"/>
            <w:vAlign w:val="center"/>
          </w:tcPr>
          <w:p>
            <w:pPr>
              <w:spacing w:line="240" w:lineRule="auto"/>
              <w:jc w:val="center"/>
              <w:rPr>
                <w:sz w:val="22"/>
                <w:szCs w:val="22"/>
                <w:highlight w:val="none"/>
              </w:rPr>
            </w:pPr>
            <w:r>
              <w:rPr>
                <w:rFonts w:hint="eastAsia"/>
                <w:sz w:val="22"/>
                <w:szCs w:val="22"/>
                <w:highlight w:val="none"/>
              </w:rPr>
              <w:t>0.250%</w:t>
            </w:r>
          </w:p>
        </w:tc>
        <w:tc>
          <w:tcPr>
            <w:tcW w:w="1845" w:type="dxa"/>
            <w:vAlign w:val="center"/>
          </w:tcPr>
          <w:p>
            <w:pPr>
              <w:spacing w:line="240" w:lineRule="auto"/>
              <w:jc w:val="center"/>
              <w:rPr>
                <w:sz w:val="22"/>
                <w:szCs w:val="22"/>
                <w:highlight w:val="none"/>
              </w:rPr>
            </w:pPr>
            <w:r>
              <w:rPr>
                <w:rFonts w:hint="eastAsia"/>
                <w:sz w:val="22"/>
                <w:szCs w:val="22"/>
                <w:highlight w:val="none"/>
              </w:rPr>
              <w:t>0.100%</w:t>
            </w:r>
          </w:p>
        </w:tc>
        <w:tc>
          <w:tcPr>
            <w:tcW w:w="1846" w:type="dxa"/>
            <w:vAlign w:val="center"/>
          </w:tcPr>
          <w:p>
            <w:pPr>
              <w:spacing w:line="240" w:lineRule="auto"/>
              <w:jc w:val="center"/>
              <w:rPr>
                <w:sz w:val="22"/>
                <w:szCs w:val="22"/>
                <w:highlight w:val="none"/>
              </w:rPr>
            </w:pPr>
            <w:r>
              <w:rPr>
                <w:rFonts w:hint="eastAsia"/>
                <w:sz w:val="22"/>
                <w:szCs w:val="22"/>
                <w:highlight w:val="none"/>
              </w:rPr>
              <w:t>0.200%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1亿元（含）-5亿元</w:t>
            </w:r>
          </w:p>
        </w:tc>
        <w:tc>
          <w:tcPr>
            <w:tcW w:w="1845" w:type="dxa"/>
            <w:vAlign w:val="center"/>
          </w:tcPr>
          <w:p>
            <w:pPr>
              <w:spacing w:line="240" w:lineRule="auto"/>
              <w:jc w:val="center"/>
              <w:rPr>
                <w:sz w:val="22"/>
                <w:szCs w:val="22"/>
                <w:highlight w:val="none"/>
              </w:rPr>
            </w:pPr>
            <w:r>
              <w:rPr>
                <w:rFonts w:hint="eastAsia"/>
                <w:sz w:val="22"/>
                <w:szCs w:val="22"/>
                <w:highlight w:val="none"/>
              </w:rPr>
              <w:t>0.050%</w:t>
            </w:r>
          </w:p>
        </w:tc>
        <w:tc>
          <w:tcPr>
            <w:tcW w:w="1845" w:type="dxa"/>
            <w:vAlign w:val="center"/>
          </w:tcPr>
          <w:p>
            <w:pPr>
              <w:spacing w:line="240" w:lineRule="auto"/>
              <w:jc w:val="center"/>
              <w:rPr>
                <w:sz w:val="22"/>
                <w:szCs w:val="22"/>
                <w:highlight w:val="none"/>
              </w:rPr>
            </w:pPr>
            <w:r>
              <w:rPr>
                <w:rFonts w:hint="eastAsia"/>
                <w:sz w:val="22"/>
                <w:szCs w:val="22"/>
                <w:highlight w:val="none"/>
              </w:rPr>
              <w:t>0.050%</w:t>
            </w:r>
          </w:p>
        </w:tc>
        <w:tc>
          <w:tcPr>
            <w:tcW w:w="1846" w:type="dxa"/>
            <w:vAlign w:val="center"/>
          </w:tcPr>
          <w:p>
            <w:pPr>
              <w:spacing w:line="240" w:lineRule="auto"/>
              <w:jc w:val="center"/>
              <w:rPr>
                <w:sz w:val="22"/>
                <w:szCs w:val="22"/>
                <w:highlight w:val="none"/>
              </w:rPr>
            </w:pPr>
            <w:r>
              <w:rPr>
                <w:rFonts w:hint="eastAsia"/>
                <w:sz w:val="22"/>
                <w:szCs w:val="22"/>
                <w:highlight w:val="none"/>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5亿元（含）-10亿元</w:t>
            </w:r>
          </w:p>
        </w:tc>
        <w:tc>
          <w:tcPr>
            <w:tcW w:w="1845" w:type="dxa"/>
            <w:vAlign w:val="center"/>
          </w:tcPr>
          <w:p>
            <w:pPr>
              <w:spacing w:line="240" w:lineRule="auto"/>
              <w:jc w:val="center"/>
              <w:rPr>
                <w:sz w:val="22"/>
                <w:szCs w:val="22"/>
                <w:highlight w:val="none"/>
              </w:rPr>
            </w:pPr>
            <w:r>
              <w:rPr>
                <w:rFonts w:hint="eastAsia"/>
                <w:sz w:val="22"/>
                <w:szCs w:val="22"/>
                <w:highlight w:val="none"/>
              </w:rPr>
              <w:t>0.035%</w:t>
            </w:r>
          </w:p>
        </w:tc>
        <w:tc>
          <w:tcPr>
            <w:tcW w:w="1845" w:type="dxa"/>
            <w:vAlign w:val="center"/>
          </w:tcPr>
          <w:p>
            <w:pPr>
              <w:spacing w:line="240" w:lineRule="auto"/>
              <w:jc w:val="center"/>
              <w:rPr>
                <w:sz w:val="22"/>
                <w:szCs w:val="22"/>
                <w:highlight w:val="none"/>
              </w:rPr>
            </w:pPr>
            <w:r>
              <w:rPr>
                <w:rFonts w:hint="eastAsia"/>
                <w:sz w:val="22"/>
                <w:szCs w:val="22"/>
                <w:highlight w:val="none"/>
              </w:rPr>
              <w:t>0.035%</w:t>
            </w:r>
          </w:p>
        </w:tc>
        <w:tc>
          <w:tcPr>
            <w:tcW w:w="1846" w:type="dxa"/>
            <w:vAlign w:val="center"/>
          </w:tcPr>
          <w:p>
            <w:pPr>
              <w:spacing w:line="240" w:lineRule="auto"/>
              <w:jc w:val="center"/>
              <w:rPr>
                <w:sz w:val="22"/>
                <w:szCs w:val="22"/>
                <w:highlight w:val="none"/>
              </w:rPr>
            </w:pPr>
            <w:r>
              <w:rPr>
                <w:rFonts w:hint="eastAsia"/>
                <w:sz w:val="22"/>
                <w:szCs w:val="22"/>
                <w:highlight w:val="none"/>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10亿元（含）-50亿元</w:t>
            </w:r>
          </w:p>
        </w:tc>
        <w:tc>
          <w:tcPr>
            <w:tcW w:w="1845" w:type="dxa"/>
            <w:vAlign w:val="center"/>
          </w:tcPr>
          <w:p>
            <w:pPr>
              <w:spacing w:line="240" w:lineRule="auto"/>
              <w:jc w:val="center"/>
              <w:rPr>
                <w:sz w:val="22"/>
                <w:szCs w:val="22"/>
                <w:highlight w:val="none"/>
              </w:rPr>
            </w:pPr>
            <w:r>
              <w:rPr>
                <w:rFonts w:hint="eastAsia"/>
                <w:sz w:val="22"/>
                <w:szCs w:val="22"/>
                <w:highlight w:val="none"/>
              </w:rPr>
              <w:t>0.008%</w:t>
            </w:r>
          </w:p>
        </w:tc>
        <w:tc>
          <w:tcPr>
            <w:tcW w:w="1845" w:type="dxa"/>
            <w:vAlign w:val="center"/>
          </w:tcPr>
          <w:p>
            <w:pPr>
              <w:spacing w:line="240" w:lineRule="auto"/>
              <w:jc w:val="center"/>
              <w:rPr>
                <w:sz w:val="22"/>
                <w:szCs w:val="22"/>
                <w:highlight w:val="none"/>
              </w:rPr>
            </w:pPr>
            <w:r>
              <w:rPr>
                <w:rFonts w:hint="eastAsia"/>
                <w:sz w:val="22"/>
                <w:szCs w:val="22"/>
                <w:highlight w:val="none"/>
              </w:rPr>
              <w:t>0.008%</w:t>
            </w:r>
          </w:p>
        </w:tc>
        <w:tc>
          <w:tcPr>
            <w:tcW w:w="1846" w:type="dxa"/>
            <w:vAlign w:val="center"/>
          </w:tcPr>
          <w:p>
            <w:pPr>
              <w:spacing w:line="240" w:lineRule="auto"/>
              <w:jc w:val="center"/>
              <w:rPr>
                <w:sz w:val="22"/>
                <w:szCs w:val="22"/>
                <w:highlight w:val="none"/>
              </w:rPr>
            </w:pPr>
            <w:r>
              <w:rPr>
                <w:rFonts w:hint="eastAsia"/>
                <w:sz w:val="22"/>
                <w:szCs w:val="22"/>
                <w:highlight w:val="none"/>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50亿元（含）-100亿元</w:t>
            </w:r>
          </w:p>
        </w:tc>
        <w:tc>
          <w:tcPr>
            <w:tcW w:w="1845" w:type="dxa"/>
            <w:vAlign w:val="center"/>
          </w:tcPr>
          <w:p>
            <w:pPr>
              <w:spacing w:line="240" w:lineRule="auto"/>
              <w:jc w:val="center"/>
              <w:rPr>
                <w:sz w:val="22"/>
                <w:szCs w:val="22"/>
                <w:highlight w:val="none"/>
              </w:rPr>
            </w:pPr>
            <w:r>
              <w:rPr>
                <w:rFonts w:hint="eastAsia"/>
                <w:sz w:val="22"/>
                <w:szCs w:val="22"/>
                <w:highlight w:val="none"/>
              </w:rPr>
              <w:t>0.006%</w:t>
            </w:r>
          </w:p>
        </w:tc>
        <w:tc>
          <w:tcPr>
            <w:tcW w:w="1845" w:type="dxa"/>
            <w:vAlign w:val="center"/>
          </w:tcPr>
          <w:p>
            <w:pPr>
              <w:spacing w:line="240" w:lineRule="auto"/>
              <w:jc w:val="center"/>
              <w:rPr>
                <w:sz w:val="22"/>
                <w:szCs w:val="22"/>
                <w:highlight w:val="none"/>
              </w:rPr>
            </w:pPr>
            <w:r>
              <w:rPr>
                <w:rFonts w:hint="eastAsia"/>
                <w:sz w:val="22"/>
                <w:szCs w:val="22"/>
                <w:highlight w:val="none"/>
              </w:rPr>
              <w:t>0.006%</w:t>
            </w:r>
          </w:p>
        </w:tc>
        <w:tc>
          <w:tcPr>
            <w:tcW w:w="1846" w:type="dxa"/>
            <w:vAlign w:val="center"/>
          </w:tcPr>
          <w:p>
            <w:pPr>
              <w:spacing w:line="240" w:lineRule="auto"/>
              <w:jc w:val="center"/>
              <w:rPr>
                <w:sz w:val="22"/>
                <w:szCs w:val="22"/>
                <w:highlight w:val="none"/>
              </w:rPr>
            </w:pPr>
            <w:r>
              <w:rPr>
                <w:rFonts w:hint="eastAsia"/>
                <w:sz w:val="22"/>
                <w:szCs w:val="22"/>
                <w:highlight w:val="none"/>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986" w:type="dxa"/>
            <w:vAlign w:val="center"/>
          </w:tcPr>
          <w:p>
            <w:pPr>
              <w:spacing w:line="240" w:lineRule="auto"/>
              <w:rPr>
                <w:color w:val="000000"/>
                <w:sz w:val="22"/>
                <w:szCs w:val="22"/>
                <w:highlight w:val="none"/>
              </w:rPr>
            </w:pPr>
            <w:r>
              <w:rPr>
                <w:rFonts w:hint="eastAsia"/>
                <w:color w:val="000000"/>
                <w:sz w:val="22"/>
                <w:szCs w:val="22"/>
                <w:highlight w:val="none"/>
              </w:rPr>
              <w:t>100亿元（含）以上</w:t>
            </w:r>
          </w:p>
        </w:tc>
        <w:tc>
          <w:tcPr>
            <w:tcW w:w="1845" w:type="dxa"/>
            <w:vAlign w:val="center"/>
          </w:tcPr>
          <w:p>
            <w:pPr>
              <w:spacing w:line="240" w:lineRule="auto"/>
              <w:jc w:val="center"/>
              <w:rPr>
                <w:sz w:val="22"/>
                <w:szCs w:val="22"/>
                <w:highlight w:val="none"/>
              </w:rPr>
            </w:pPr>
            <w:r>
              <w:rPr>
                <w:rFonts w:hint="eastAsia"/>
                <w:sz w:val="22"/>
                <w:szCs w:val="22"/>
                <w:highlight w:val="none"/>
              </w:rPr>
              <w:t>0.004%</w:t>
            </w:r>
          </w:p>
        </w:tc>
        <w:tc>
          <w:tcPr>
            <w:tcW w:w="1845" w:type="dxa"/>
            <w:vAlign w:val="center"/>
          </w:tcPr>
          <w:p>
            <w:pPr>
              <w:spacing w:line="240" w:lineRule="auto"/>
              <w:jc w:val="center"/>
              <w:rPr>
                <w:sz w:val="22"/>
                <w:szCs w:val="22"/>
                <w:highlight w:val="none"/>
              </w:rPr>
            </w:pPr>
            <w:r>
              <w:rPr>
                <w:rFonts w:hint="eastAsia"/>
                <w:sz w:val="22"/>
                <w:szCs w:val="22"/>
                <w:highlight w:val="none"/>
              </w:rPr>
              <w:t>0.004%</w:t>
            </w:r>
          </w:p>
        </w:tc>
        <w:tc>
          <w:tcPr>
            <w:tcW w:w="1846" w:type="dxa"/>
            <w:vAlign w:val="center"/>
          </w:tcPr>
          <w:p>
            <w:pPr>
              <w:spacing w:line="240" w:lineRule="auto"/>
              <w:jc w:val="center"/>
              <w:rPr>
                <w:sz w:val="22"/>
                <w:szCs w:val="22"/>
                <w:highlight w:val="none"/>
              </w:rPr>
            </w:pPr>
            <w:r>
              <w:rPr>
                <w:rFonts w:hint="eastAsia"/>
                <w:sz w:val="22"/>
                <w:szCs w:val="22"/>
                <w:highlight w:val="none"/>
              </w:rPr>
              <w:t>0.004%</w:t>
            </w:r>
          </w:p>
        </w:tc>
      </w:tr>
    </w:tbl>
    <w:p>
      <w:pPr>
        <w:tabs>
          <w:tab w:val="clear" w:pos="426"/>
        </w:tabs>
        <w:spacing w:line="300" w:lineRule="auto"/>
        <w:ind w:left="424" w:leftChars="202"/>
        <w:rPr>
          <w:sz w:val="22"/>
          <w:highlight w:val="none"/>
        </w:rPr>
      </w:pPr>
      <w:r>
        <w:rPr>
          <w:rFonts w:hint="eastAsia"/>
          <w:sz w:val="22"/>
          <w:highlight w:val="none"/>
        </w:rPr>
        <w:t>以某5000万项目货物类招标为例：</w:t>
      </w:r>
    </w:p>
    <w:p>
      <w:pPr>
        <w:tabs>
          <w:tab w:val="clear" w:pos="426"/>
        </w:tabs>
        <w:spacing w:line="300" w:lineRule="auto"/>
        <w:ind w:left="424" w:leftChars="202"/>
        <w:rPr>
          <w:sz w:val="22"/>
          <w:highlight w:val="none"/>
        </w:rPr>
      </w:pPr>
      <w:r>
        <w:rPr>
          <w:rFonts w:hint="eastAsia"/>
          <w:sz w:val="22"/>
          <w:highlight w:val="none"/>
        </w:rPr>
        <w:t>其计算基准价</w:t>
      </w:r>
      <w:r>
        <w:rPr>
          <w:sz w:val="22"/>
          <w:highlight w:val="none"/>
        </w:rPr>
        <w:t>为</w:t>
      </w:r>
      <w:r>
        <w:rPr>
          <w:rFonts w:hint="eastAsia"/>
          <w:sz w:val="22"/>
          <w:highlight w:val="none"/>
        </w:rPr>
        <w:t>中标价5000万元</w:t>
      </w:r>
      <w:r>
        <w:rPr>
          <w:sz w:val="22"/>
          <w:highlight w:val="none"/>
        </w:rPr>
        <w:t>，则招标代理</w:t>
      </w:r>
      <w:r>
        <w:rPr>
          <w:rFonts w:hint="eastAsia"/>
          <w:sz w:val="22"/>
          <w:highlight w:val="none"/>
        </w:rPr>
        <w:t>服务</w:t>
      </w:r>
      <w:r>
        <w:rPr>
          <w:sz w:val="22"/>
          <w:highlight w:val="none"/>
        </w:rPr>
        <w:t>费计算为：</w:t>
      </w:r>
    </w:p>
    <w:p>
      <w:pPr>
        <w:tabs>
          <w:tab w:val="clear" w:pos="426"/>
        </w:tabs>
        <w:spacing w:line="300" w:lineRule="auto"/>
        <w:ind w:left="424" w:leftChars="202"/>
        <w:rPr>
          <w:sz w:val="22"/>
          <w:highlight w:val="none"/>
        </w:rPr>
      </w:pPr>
      <w:r>
        <w:rPr>
          <w:rFonts w:hint="eastAsia"/>
          <w:sz w:val="22"/>
          <w:highlight w:val="none"/>
        </w:rPr>
        <w:t>100万元×1.5%=1.5万元</w:t>
      </w:r>
    </w:p>
    <w:p>
      <w:pPr>
        <w:tabs>
          <w:tab w:val="clear" w:pos="426"/>
        </w:tabs>
        <w:spacing w:line="300" w:lineRule="auto"/>
        <w:ind w:left="424" w:leftChars="202"/>
        <w:rPr>
          <w:sz w:val="22"/>
          <w:highlight w:val="none"/>
        </w:rPr>
      </w:pPr>
      <w:r>
        <w:rPr>
          <w:rFonts w:hint="eastAsia"/>
          <w:sz w:val="22"/>
          <w:highlight w:val="none"/>
        </w:rPr>
        <w:t xml:space="preserve">（500-100）万元×1.1%=4.4万元 </w:t>
      </w:r>
    </w:p>
    <w:p>
      <w:pPr>
        <w:tabs>
          <w:tab w:val="clear" w:pos="426"/>
        </w:tabs>
        <w:spacing w:line="300" w:lineRule="auto"/>
        <w:ind w:left="424" w:leftChars="202"/>
        <w:rPr>
          <w:sz w:val="22"/>
          <w:highlight w:val="none"/>
        </w:rPr>
      </w:pPr>
      <w:r>
        <w:rPr>
          <w:rFonts w:hint="eastAsia"/>
          <w:sz w:val="22"/>
          <w:highlight w:val="none"/>
        </w:rPr>
        <w:t xml:space="preserve">（1000-500）万元×0.8%=4万元 </w:t>
      </w:r>
    </w:p>
    <w:p>
      <w:pPr>
        <w:tabs>
          <w:tab w:val="clear" w:pos="426"/>
        </w:tabs>
        <w:spacing w:line="300" w:lineRule="auto"/>
        <w:ind w:left="424" w:leftChars="202"/>
        <w:rPr>
          <w:sz w:val="22"/>
          <w:highlight w:val="none"/>
        </w:rPr>
      </w:pPr>
      <w:r>
        <w:rPr>
          <w:rFonts w:hint="eastAsia"/>
          <w:sz w:val="22"/>
          <w:highlight w:val="none"/>
        </w:rPr>
        <w:t>（5000-1000）万元×0.5%=20万元</w:t>
      </w:r>
    </w:p>
    <w:p>
      <w:pPr>
        <w:tabs>
          <w:tab w:val="clear" w:pos="426"/>
        </w:tabs>
        <w:spacing w:line="300" w:lineRule="auto"/>
        <w:ind w:left="424" w:leftChars="202"/>
        <w:rPr>
          <w:sz w:val="22"/>
          <w:highlight w:val="none"/>
        </w:rPr>
      </w:pPr>
      <w:r>
        <w:rPr>
          <w:rFonts w:hint="eastAsia"/>
          <w:sz w:val="22"/>
          <w:highlight w:val="none"/>
        </w:rPr>
        <w:t>因此，该项目招标代理服务费为：</w:t>
      </w:r>
      <w:r>
        <w:rPr>
          <w:sz w:val="22"/>
          <w:highlight w:val="none"/>
        </w:rPr>
        <w:t>1.5万元+4.4万元+4万元+20万元=29.9万元</w:t>
      </w:r>
    </w:p>
    <w:p>
      <w:pPr>
        <w:tabs>
          <w:tab w:val="clear" w:pos="426"/>
        </w:tabs>
        <w:rPr>
          <w:highlight w:val="none"/>
        </w:rPr>
      </w:pPr>
    </w:p>
    <w:p>
      <w:pPr>
        <w:pStyle w:val="33"/>
        <w:tabs>
          <w:tab w:val="clear" w:pos="426"/>
        </w:tabs>
        <w:rPr>
          <w:highlight w:val="none"/>
        </w:rPr>
      </w:pPr>
    </w:p>
    <w:sectPr>
      <w:pgSz w:w="11906" w:h="16838"/>
      <w:pgMar w:top="1134" w:right="1134" w:bottom="1134" w:left="1418" w:header="851" w:footer="992" w:gutter="0"/>
      <w:cols w:space="425" w:num="1"/>
      <w:titlePg/>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长城仿宋">
    <w:altName w:val="微软雅黑"/>
    <w:panose1 w:val="00000000000000000000"/>
    <w:charset w:val="86"/>
    <w:family w:val="auto"/>
    <w:pitch w:val="default"/>
    <w:sig w:usb0="00000000" w:usb1="00000000" w:usb2="00000010" w:usb3="00000000" w:csb0="00040000" w:csb1="00000000"/>
  </w:font>
  <w:font w:name="Helvetica">
    <w:altName w:val="Arial"/>
    <w:panose1 w:val="020B0604020202030204"/>
    <w:charset w:val="00"/>
    <w:family w:val="swiss"/>
    <w:pitch w:val="default"/>
    <w:sig w:usb0="00000000" w:usb1="00000000" w:usb2="00000000" w:usb3="00000000" w:csb0="00000093"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8"/>
    <w:family w:val="modern"/>
    <w:pitch w:val="default"/>
    <w:sig w:usb0="00000000" w:usb1="00000000" w:usb2="00000010" w:usb3="00000000" w:csb0="00100000"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微软雅黑 Light">
    <w:altName w:val="微软雅黑"/>
    <w:panose1 w:val="00000000000000000000"/>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rPr>
        <w:rStyle w:val="49"/>
      </w:rPr>
    </w:pPr>
    <w:r>
      <w:rPr>
        <w:rStyle w:val="49"/>
      </w:rPr>
      <w:fldChar w:fldCharType="begin"/>
    </w:r>
    <w:r>
      <w:rPr>
        <w:rStyle w:val="49"/>
      </w:rPr>
      <w:instrText xml:space="preserve">PAGE  </w:instrText>
    </w:r>
    <w:r>
      <w:rPr>
        <w:rStyle w:val="49"/>
      </w:rPr>
      <w:fldChar w:fldCharType="separate"/>
    </w:r>
    <w:r>
      <w:rPr>
        <w:rStyle w:val="49"/>
      </w:rPr>
      <w:t>59</w:t>
    </w:r>
    <w:r>
      <w:rPr>
        <w:rStyle w:val="49"/>
      </w:rPr>
      <w:fldChar w:fldCharType="end"/>
    </w:r>
  </w:p>
  <w:p>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31</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center"/>
    </w:pPr>
    <w:r>
      <w:rPr>
        <w:lang w:val="zh-CN"/>
      </w:rPr>
      <w:fldChar w:fldCharType="begin"/>
    </w:r>
    <w:r>
      <w:rPr>
        <w:lang w:val="zh-CN"/>
      </w:rPr>
      <w:instrText xml:space="preserve"> PAGE   \* MERGEFORMAT </w:instrText>
    </w:r>
    <w:r>
      <w:rPr>
        <w:lang w:val="zh-CN"/>
      </w:rPr>
      <w:fldChar w:fldCharType="separate"/>
    </w:r>
    <w:r>
      <w:rPr>
        <w:lang w:val="zh-CN"/>
      </w:rPr>
      <w:t>14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pacing w:line="240" w:lineRule="auto"/>
    </w:pPr>
    <w:r>
      <w:rPr>
        <w:rFonts w:hint="eastAsia"/>
      </w:rPr>
      <w:t>深圳市深水水务咨询有限公司政府采购招标文件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Fonts w:hint="eastAsia"/>
      </w:rPr>
      <w:t>深圳市深水水务咨询有限公司政府采购招标文件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B9226B"/>
    <w:multiLevelType w:val="singleLevel"/>
    <w:tmpl w:val="F9B9226B"/>
    <w:lvl w:ilvl="0" w:tentative="0">
      <w:start w:val="4"/>
      <w:numFmt w:val="chineseCounting"/>
      <w:suff w:val="nothing"/>
      <w:lvlText w:val="%1、"/>
      <w:lvlJc w:val="left"/>
      <w:rPr>
        <w:rFonts w:hint="eastAsia"/>
      </w:rPr>
    </w:lvl>
  </w:abstractNum>
  <w:abstractNum w:abstractNumId="1">
    <w:nsid w:val="00000004"/>
    <w:multiLevelType w:val="multilevel"/>
    <w:tmpl w:val="00000004"/>
    <w:lvl w:ilvl="0" w:tentative="0">
      <w:start w:val="1"/>
      <w:numFmt w:val="bullet"/>
      <w:pStyle w:val="1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000000A"/>
    <w:multiLevelType w:val="multilevel"/>
    <w:tmpl w:val="0000000A"/>
    <w:lvl w:ilvl="0" w:tentative="0">
      <w:start w:val="1"/>
      <w:numFmt w:val="bullet"/>
      <w:pStyle w:val="210"/>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3">
    <w:nsid w:val="00DB0158"/>
    <w:multiLevelType w:val="multilevel"/>
    <w:tmpl w:val="00DB0158"/>
    <w:lvl w:ilvl="0" w:tentative="0">
      <w:start w:val="1"/>
      <w:numFmt w:val="bullet"/>
      <w:pStyle w:val="92"/>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4">
    <w:nsid w:val="01D320DE"/>
    <w:multiLevelType w:val="multilevel"/>
    <w:tmpl w:val="01D320DE"/>
    <w:lvl w:ilvl="0" w:tentative="0">
      <w:start w:val="1"/>
      <w:numFmt w:val="chineseCountingThousand"/>
      <w:pStyle w:val="133"/>
      <w:lvlText w:val="第%1章"/>
      <w:lvlJc w:val="left"/>
      <w:pPr>
        <w:tabs>
          <w:tab w:val="left" w:pos="1440"/>
        </w:tabs>
        <w:ind w:left="0" w:firstLine="0"/>
      </w:pPr>
      <w:rPr>
        <w:rFonts w:hint="eastAsia"/>
      </w:rPr>
    </w:lvl>
    <w:lvl w:ilvl="1" w:tentative="0">
      <w:start w:val="1"/>
      <w:numFmt w:val="decimal"/>
      <w:pStyle w:val="134"/>
      <w:isLgl/>
      <w:lvlText w:val="%1.%2"/>
      <w:lvlJc w:val="left"/>
      <w:pPr>
        <w:tabs>
          <w:tab w:val="left" w:pos="720"/>
        </w:tabs>
        <w:ind w:left="0" w:firstLine="0"/>
      </w:pPr>
      <w:rPr>
        <w:rFonts w:hint="eastAsia"/>
      </w:rPr>
    </w:lvl>
    <w:lvl w:ilvl="2" w:tentative="0">
      <w:start w:val="1"/>
      <w:numFmt w:val="decimal"/>
      <w:pStyle w:val="135"/>
      <w:isLgl/>
      <w:suff w:val="space"/>
      <w:lvlText w:val="%1.%2.%3"/>
      <w:lvlJc w:val="left"/>
      <w:pPr>
        <w:ind w:left="0" w:firstLine="0"/>
      </w:pPr>
      <w:rPr>
        <w:rFonts w:hint="eastAsia"/>
      </w:rPr>
    </w:lvl>
    <w:lvl w:ilvl="3" w:tentative="0">
      <w:start w:val="1"/>
      <w:numFmt w:val="decimal"/>
      <w:lvlText w:val=""/>
      <w:lvlJc w:val="left"/>
      <w:pPr>
        <w:tabs>
          <w:tab w:val="left" w:pos="360"/>
        </w:tabs>
        <w:ind w:left="0" w:firstLine="0"/>
      </w:pPr>
      <w:rPr>
        <w:rFonts w:hint="eastAsia"/>
      </w:rPr>
    </w:lvl>
    <w:lvl w:ilvl="4" w:tentative="0">
      <w:start w:val="1"/>
      <w:numFmt w:val="decimal"/>
      <w:lvlText w:val=""/>
      <w:lvlJc w:val="left"/>
      <w:pPr>
        <w:tabs>
          <w:tab w:val="left" w:pos="360"/>
        </w:tabs>
        <w:ind w:left="0" w:firstLine="0"/>
      </w:pPr>
      <w:rPr>
        <w:rFonts w:hint="eastAsia"/>
      </w:rPr>
    </w:lvl>
    <w:lvl w:ilvl="5" w:tentative="0">
      <w:start w:val="1"/>
      <w:numFmt w:val="decimal"/>
      <w:lvlText w:val=""/>
      <w:lvlJc w:val="left"/>
      <w:pPr>
        <w:tabs>
          <w:tab w:val="left" w:pos="360"/>
        </w:tabs>
        <w:ind w:left="0" w:firstLine="0"/>
      </w:pPr>
      <w:rPr>
        <w:rFonts w:hint="eastAsia"/>
      </w:rPr>
    </w:lvl>
    <w:lvl w:ilvl="6" w:tentative="0">
      <w:start w:val="1"/>
      <w:numFmt w:val="decimal"/>
      <w:lvlText w:val=""/>
      <w:lvlJc w:val="left"/>
      <w:pPr>
        <w:tabs>
          <w:tab w:val="left" w:pos="360"/>
        </w:tabs>
        <w:ind w:left="0" w:firstLine="0"/>
      </w:pPr>
      <w:rPr>
        <w:rFonts w:hint="eastAsia"/>
      </w:rPr>
    </w:lvl>
    <w:lvl w:ilvl="7" w:tentative="0">
      <w:start w:val="1"/>
      <w:numFmt w:val="decimal"/>
      <w:lvlText w:val=""/>
      <w:lvlJc w:val="left"/>
      <w:pPr>
        <w:tabs>
          <w:tab w:val="left" w:pos="360"/>
        </w:tabs>
        <w:ind w:left="0" w:firstLine="0"/>
      </w:pPr>
      <w:rPr>
        <w:rFonts w:hint="eastAsia"/>
      </w:rPr>
    </w:lvl>
    <w:lvl w:ilvl="8" w:tentative="0">
      <w:start w:val="1"/>
      <w:numFmt w:val="decimal"/>
      <w:lvlText w:val=""/>
      <w:lvlJc w:val="left"/>
      <w:pPr>
        <w:tabs>
          <w:tab w:val="left" w:pos="360"/>
        </w:tabs>
        <w:ind w:left="0" w:firstLine="0"/>
      </w:pPr>
      <w:rPr>
        <w:rFonts w:hint="eastAsia"/>
      </w:rPr>
    </w:lvl>
  </w:abstractNum>
  <w:abstractNum w:abstractNumId="5">
    <w:nsid w:val="0A3F3F51"/>
    <w:multiLevelType w:val="multilevel"/>
    <w:tmpl w:val="0A3F3F51"/>
    <w:lvl w:ilvl="0" w:tentative="0">
      <w:start w:val="1"/>
      <w:numFmt w:val="chineseCountingThousand"/>
      <w:suff w:val="nothing"/>
      <w:lvlText w:val="%1、"/>
      <w:lvlJc w:val="left"/>
      <w:pPr>
        <w:ind w:left="312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6AE5335"/>
    <w:multiLevelType w:val="multilevel"/>
    <w:tmpl w:val="16AE5335"/>
    <w:lvl w:ilvl="0" w:tentative="0">
      <w:start w:val="1"/>
      <w:numFmt w:val="decimal"/>
      <w:pStyle w:val="87"/>
      <w:lvlText w:val="图4-%1."/>
      <w:lvlJc w:val="center"/>
      <w:pPr>
        <w:tabs>
          <w:tab w:val="left" w:pos="737"/>
        </w:tabs>
        <w:ind w:left="737" w:hanging="449"/>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A1E1C4B"/>
    <w:multiLevelType w:val="multilevel"/>
    <w:tmpl w:val="1A1E1C4B"/>
    <w:lvl w:ilvl="0" w:tentative="0">
      <w:start w:val="1"/>
      <w:numFmt w:val="chineseCountingThousand"/>
      <w:pStyle w:val="91"/>
      <w:lvlText w:val="第%1章"/>
      <w:lvlJc w:val="left"/>
      <w:pPr>
        <w:ind w:left="420" w:hanging="420"/>
      </w:pPr>
      <w:rPr>
        <w:rFonts w:hint="eastAsia"/>
      </w:rPr>
    </w:lvl>
    <w:lvl w:ilvl="1" w:tentative="0">
      <w:start w:val="1"/>
      <w:numFmt w:val="decimal"/>
      <w:lvlText w:val="1.%2"/>
      <w:lvlJc w:val="left"/>
      <w:pPr>
        <w:ind w:left="420" w:hanging="420"/>
      </w:pPr>
      <w:rPr>
        <w:rFonts w:hint="default" w:ascii="Calibri Light" w:hAnsi="Calibri Light" w:eastAsia="宋体" w:cs="Calibri"/>
        <w:sz w:val="32"/>
        <w:szCs w:val="32"/>
      </w:rPr>
    </w:lvl>
    <w:lvl w:ilvl="2" w:tentative="0">
      <w:start w:val="1"/>
      <w:numFmt w:val="decimal"/>
      <w:lvlText w:val="1.1.%3"/>
      <w:lvlJc w:val="left"/>
      <w:pPr>
        <w:ind w:left="420" w:firstLine="147"/>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2FD7025"/>
    <w:multiLevelType w:val="multilevel"/>
    <w:tmpl w:val="22FD7025"/>
    <w:lvl w:ilvl="0" w:tentative="0">
      <w:start w:val="1"/>
      <w:numFmt w:val="chineseCountingThousand"/>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suff w:val="nothing"/>
      <w:lvlText w:val="%2."/>
      <w:lvlJc w:val="left"/>
      <w:pPr>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0">
    <w:nsid w:val="28200F5E"/>
    <w:multiLevelType w:val="multilevel"/>
    <w:tmpl w:val="28200F5E"/>
    <w:lvl w:ilvl="0" w:tentative="0">
      <w:start w:val="1"/>
      <w:numFmt w:val="decimal"/>
      <w:pStyle w:val="95"/>
      <w:lvlText w:val="%1)"/>
      <w:lvlJc w:val="left"/>
      <w:pPr>
        <w:ind w:left="42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2D2470EB"/>
    <w:multiLevelType w:val="multilevel"/>
    <w:tmpl w:val="2D2470EB"/>
    <w:lvl w:ilvl="0" w:tentative="0">
      <w:start w:val="1"/>
      <w:numFmt w:val="bullet"/>
      <w:lvlText w:val=""/>
      <w:lvlJc w:val="left"/>
      <w:pPr>
        <w:ind w:left="420" w:hanging="420"/>
      </w:pPr>
      <w:rPr>
        <w:rFonts w:hint="default" w:ascii="Wingdings" w:hAnsi="Wingdings"/>
      </w:rPr>
    </w:lvl>
    <w:lvl w:ilvl="1" w:tentative="0">
      <w:start w:val="1"/>
      <w:numFmt w:val="decimal"/>
      <w:pStyle w:val="262"/>
      <w:lvlText w:val="%2)"/>
      <w:lvlJc w:val="left"/>
      <w:pPr>
        <w:ind w:left="840" w:hanging="420"/>
      </w:pPr>
      <w:rPr>
        <w:rFonts w:hint="default"/>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2E8F6958"/>
    <w:multiLevelType w:val="multilevel"/>
    <w:tmpl w:val="2E8F6958"/>
    <w:lvl w:ilvl="0" w:tentative="0">
      <w:start w:val="1"/>
      <w:numFmt w:val="decimal"/>
      <w:pStyle w:val="243"/>
      <w:lvlText w:val="%1)"/>
      <w:lvlJc w:val="left"/>
      <w:pPr>
        <w:ind w:left="620" w:hanging="420"/>
      </w:p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3">
    <w:nsid w:val="30555EAE"/>
    <w:multiLevelType w:val="multilevel"/>
    <w:tmpl w:val="30555EAE"/>
    <w:lvl w:ilvl="0" w:tentative="0">
      <w:start w:val="1"/>
      <w:numFmt w:val="decimal"/>
      <w:lvlText w:val="%1."/>
      <w:lvlJc w:val="left"/>
      <w:pPr>
        <w:tabs>
          <w:tab w:val="left" w:pos="420"/>
        </w:tabs>
        <w:ind w:left="0" w:firstLine="420"/>
      </w:pPr>
      <w:rPr>
        <w:rFonts w:hint="eastAsia"/>
      </w:rPr>
    </w:lvl>
    <w:lvl w:ilvl="1" w:tentative="0">
      <w:start w:val="1"/>
      <w:numFmt w:val="decimal"/>
      <w:lvlText w:val="(%2)"/>
      <w:lvlJc w:val="left"/>
      <w:pPr>
        <w:tabs>
          <w:tab w:val="left" w:pos="420"/>
        </w:tabs>
        <w:ind w:left="800" w:hanging="380"/>
      </w:pPr>
      <w:rPr>
        <w:rFonts w:hint="eastAsia"/>
      </w:rPr>
    </w:lvl>
    <w:lvl w:ilvl="2" w:tentative="0">
      <w:start w:val="1"/>
      <w:numFmt w:val="none"/>
      <w:lvlText w:val=""/>
      <w:lvlJc w:val="left"/>
      <w:pPr>
        <w:tabs>
          <w:tab w:val="left" w:pos="-328"/>
        </w:tabs>
        <w:ind w:left="-1462" w:firstLine="400"/>
      </w:pPr>
      <w:rPr>
        <w:rFonts w:hint="eastAsia"/>
      </w:rPr>
    </w:lvl>
    <w:lvl w:ilvl="3" w:tentative="0">
      <w:start w:val="1"/>
      <w:numFmt w:val="none"/>
      <w:lvlText w:val=""/>
      <w:lvlJc w:val="left"/>
      <w:pPr>
        <w:tabs>
          <w:tab w:val="left" w:pos="-1059"/>
        </w:tabs>
        <w:ind w:left="-2193" w:firstLine="400"/>
      </w:pPr>
      <w:rPr>
        <w:rFonts w:hint="eastAsia"/>
      </w:rPr>
    </w:lvl>
    <w:lvl w:ilvl="4" w:tentative="0">
      <w:start w:val="1"/>
      <w:numFmt w:val="none"/>
      <w:lvlText w:val=""/>
      <w:lvlJc w:val="left"/>
      <w:pPr>
        <w:tabs>
          <w:tab w:val="left" w:pos="-1790"/>
        </w:tabs>
        <w:ind w:left="-2924" w:firstLine="400"/>
      </w:pPr>
      <w:rPr>
        <w:rFonts w:hint="eastAsia"/>
      </w:rPr>
    </w:lvl>
    <w:lvl w:ilvl="5" w:tentative="0">
      <w:start w:val="1"/>
      <w:numFmt w:val="decimal"/>
      <w:lvlText w:val="%1.%2.%3.%4.%5.%6"/>
      <w:lvlJc w:val="left"/>
      <w:pPr>
        <w:tabs>
          <w:tab w:val="left" w:pos="-2521"/>
        </w:tabs>
        <w:ind w:left="-3655" w:firstLine="400"/>
      </w:pPr>
      <w:rPr>
        <w:rFonts w:hint="eastAsia"/>
      </w:rPr>
    </w:lvl>
    <w:lvl w:ilvl="6" w:tentative="0">
      <w:start w:val="1"/>
      <w:numFmt w:val="decimal"/>
      <w:lvlText w:val="%1.%2.%3.%4.%5.%6.%7"/>
      <w:lvlJc w:val="left"/>
      <w:pPr>
        <w:tabs>
          <w:tab w:val="left" w:pos="-3252"/>
        </w:tabs>
        <w:ind w:left="-4386" w:firstLine="400"/>
      </w:pPr>
      <w:rPr>
        <w:rFonts w:hint="eastAsia"/>
      </w:rPr>
    </w:lvl>
    <w:lvl w:ilvl="7" w:tentative="0">
      <w:start w:val="1"/>
      <w:numFmt w:val="decimal"/>
      <w:lvlText w:val="%1.%2.%3.%4.%5.%6.%7.%8"/>
      <w:lvlJc w:val="left"/>
      <w:pPr>
        <w:tabs>
          <w:tab w:val="left" w:pos="-3983"/>
        </w:tabs>
        <w:ind w:left="-5117" w:firstLine="400"/>
      </w:pPr>
      <w:rPr>
        <w:rFonts w:hint="eastAsia"/>
      </w:rPr>
    </w:lvl>
    <w:lvl w:ilvl="8" w:tentative="0">
      <w:start w:val="1"/>
      <w:numFmt w:val="decimal"/>
      <w:lvlText w:val="%1.%2.%3.%4.%5.%6.%7.%8.%9"/>
      <w:lvlJc w:val="left"/>
      <w:pPr>
        <w:tabs>
          <w:tab w:val="left" w:pos="-4714"/>
        </w:tabs>
        <w:ind w:left="-5848" w:firstLine="400"/>
      </w:pPr>
      <w:rPr>
        <w:rFonts w:hint="eastAsia"/>
      </w:rPr>
    </w:lvl>
  </w:abstractNum>
  <w:abstractNum w:abstractNumId="14">
    <w:nsid w:val="37D3508F"/>
    <w:multiLevelType w:val="multilevel"/>
    <w:tmpl w:val="37D3508F"/>
    <w:lvl w:ilvl="0" w:tentative="0">
      <w:start w:val="5"/>
      <w:numFmt w:val="decimal"/>
      <w:lvlText w:val="%1"/>
      <w:lvlJc w:val="left"/>
      <w:pPr>
        <w:tabs>
          <w:tab w:val="left" w:pos="425"/>
        </w:tabs>
        <w:ind w:left="425" w:hanging="425"/>
      </w:pPr>
      <w:rPr>
        <w:rFonts w:hint="eastAsia"/>
      </w:rPr>
    </w:lvl>
    <w:lvl w:ilvl="1" w:tentative="0">
      <w:start w:val="1"/>
      <w:numFmt w:val="decimal"/>
      <w:pStyle w:val="86"/>
      <w:lvlText w:val="%1.%2"/>
      <w:lvlJc w:val="left"/>
      <w:pPr>
        <w:tabs>
          <w:tab w:val="left" w:pos="510"/>
        </w:tabs>
        <w:ind w:left="420" w:hanging="420"/>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3C287EEF"/>
    <w:multiLevelType w:val="multilevel"/>
    <w:tmpl w:val="3C287EEF"/>
    <w:lvl w:ilvl="0" w:tentative="0">
      <w:start w:val="1"/>
      <w:numFmt w:val="decimal"/>
      <w:pStyle w:val="259"/>
      <w:lvlText w:val="%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AF300E9"/>
    <w:multiLevelType w:val="multilevel"/>
    <w:tmpl w:val="4AF300E9"/>
    <w:lvl w:ilvl="0" w:tentative="0">
      <w:start w:val="2"/>
      <w:numFmt w:val="decimal"/>
      <w:lvlText w:val="(%1)"/>
      <w:lvlJc w:val="left"/>
      <w:pPr>
        <w:tabs>
          <w:tab w:val="left" w:pos="1200"/>
        </w:tabs>
        <w:ind w:left="1200" w:hanging="360"/>
      </w:pPr>
      <w:rPr>
        <w:rFonts w:hint="default"/>
      </w:rPr>
    </w:lvl>
    <w:lvl w:ilvl="1" w:tentative="0">
      <w:start w:val="1"/>
      <w:numFmt w:val="decimal"/>
      <w:suff w:val="nothing"/>
      <w:lvlText w:val="%2．"/>
      <w:lvlJc w:val="left"/>
      <w:pPr>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abstractNum w:abstractNumId="17">
    <w:nsid w:val="4CAA55CD"/>
    <w:multiLevelType w:val="multilevel"/>
    <w:tmpl w:val="4CAA55CD"/>
    <w:lvl w:ilvl="0" w:tentative="0">
      <w:start w:val="1"/>
      <w:numFmt w:val="bullet"/>
      <w:pStyle w:val="13"/>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8">
    <w:nsid w:val="4D877850"/>
    <w:multiLevelType w:val="multilevel"/>
    <w:tmpl w:val="4D877850"/>
    <w:lvl w:ilvl="0" w:tentative="0">
      <w:start w:val="1"/>
      <w:numFmt w:val="decimal"/>
      <w:suff w:val="nothing"/>
      <w:lvlText w:val="%1、"/>
      <w:lvlJc w:val="left"/>
    </w:lvl>
    <w:lvl w:ilvl="1" w:tentative="0">
      <w:start w:val="1"/>
      <w:numFmt w:val="decimal"/>
      <w:lvlText w:val="%1.%2"/>
      <w:lvlJc w:val="left"/>
      <w:pPr>
        <w:tabs>
          <w:tab w:val="left" w:pos="850"/>
        </w:tabs>
        <w:ind w:left="850" w:hanging="567"/>
      </w:pPr>
      <w:rPr>
        <w:rFonts w:hint="default" w:ascii="Arial" w:hAnsi="Arial" w:cs="Arial"/>
        <w:b/>
      </w:rPr>
    </w:lvl>
    <w:lvl w:ilvl="2" w:tentative="0">
      <w:start w:val="1"/>
      <w:numFmt w:val="decimal"/>
      <w:lvlText w:val="%1.%2.%3"/>
      <w:lvlJc w:val="left"/>
      <w:pPr>
        <w:tabs>
          <w:tab w:val="left" w:pos="1418"/>
        </w:tabs>
        <w:ind w:left="1418" w:hanging="567"/>
      </w:pPr>
      <w:rPr>
        <w:rFonts w:hint="default" w:ascii="Arial" w:hAnsi="Arial" w:cs="Arial"/>
        <w:b/>
        <w:sz w:val="30"/>
        <w:szCs w:val="30"/>
      </w:rPr>
    </w:lvl>
    <w:lvl w:ilvl="3" w:tentative="0">
      <w:start w:val="1"/>
      <w:numFmt w:val="decimal"/>
      <w:lvlText w:val="%1.%2.%3.%4"/>
      <w:lvlJc w:val="left"/>
      <w:pPr>
        <w:tabs>
          <w:tab w:val="left" w:pos="1984"/>
        </w:tabs>
        <w:ind w:left="1984" w:hanging="708"/>
      </w:pPr>
      <w:rPr>
        <w:rFonts w:hint="default" w:ascii="Arial" w:hAnsi="Arial" w:cs="Arial"/>
        <w:b/>
        <w:sz w:val="24"/>
        <w:szCs w:val="24"/>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9">
    <w:nsid w:val="570941F9"/>
    <w:multiLevelType w:val="multilevel"/>
    <w:tmpl w:val="570941F9"/>
    <w:lvl w:ilvl="0" w:tentative="0">
      <w:start w:val="1"/>
      <w:numFmt w:val="decimal"/>
      <w:pStyle w:val="138"/>
      <w:lvlText w:val="%1."/>
      <w:lvlJc w:val="left"/>
      <w:pPr>
        <w:tabs>
          <w:tab w:val="left" w:pos="900"/>
        </w:tabs>
        <w:ind w:left="90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D4A37DC"/>
    <w:multiLevelType w:val="multilevel"/>
    <w:tmpl w:val="5D4A37DC"/>
    <w:lvl w:ilvl="0" w:tentative="0">
      <w:start w:val="1"/>
      <w:numFmt w:val="decimal"/>
      <w:pStyle w:val="249"/>
      <w:lvlText w:val="%1)"/>
      <w:lvlJc w:val="left"/>
      <w:pPr>
        <w:ind w:left="982" w:hanging="420"/>
      </w:pPr>
    </w:lvl>
    <w:lvl w:ilvl="1" w:tentative="0">
      <w:start w:val="1"/>
      <w:numFmt w:val="lowerLetter"/>
      <w:pStyle w:val="246"/>
      <w:lvlText w:val="%2)"/>
      <w:lvlJc w:val="left"/>
      <w:pPr>
        <w:ind w:left="1402" w:hanging="420"/>
      </w:pPr>
    </w:lvl>
    <w:lvl w:ilvl="2" w:tentative="0">
      <w:start w:val="1"/>
      <w:numFmt w:val="lowerRoman"/>
      <w:pStyle w:val="247"/>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1">
    <w:nsid w:val="5F8239D3"/>
    <w:multiLevelType w:val="singleLevel"/>
    <w:tmpl w:val="5F8239D3"/>
    <w:lvl w:ilvl="0" w:tentative="0">
      <w:start w:val="1"/>
      <w:numFmt w:val="bullet"/>
      <w:pStyle w:val="161"/>
      <w:lvlText w:val=""/>
      <w:lvlJc w:val="left"/>
      <w:pPr>
        <w:tabs>
          <w:tab w:val="left" w:pos="360"/>
        </w:tabs>
        <w:ind w:left="360" w:hanging="360"/>
      </w:pPr>
      <w:rPr>
        <w:rFonts w:hint="default" w:ascii="Wingdings" w:hAnsi="Wingdings"/>
      </w:rPr>
    </w:lvl>
  </w:abstractNum>
  <w:abstractNum w:abstractNumId="22">
    <w:nsid w:val="61BA5DAB"/>
    <w:multiLevelType w:val="multilevel"/>
    <w:tmpl w:val="61BA5DAB"/>
    <w:lvl w:ilvl="0" w:tentative="0">
      <w:start w:val="2"/>
      <w:numFmt w:val="decimal"/>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3">
    <w:nsid w:val="64253DA1"/>
    <w:multiLevelType w:val="multilevel"/>
    <w:tmpl w:val="64253DA1"/>
    <w:lvl w:ilvl="0" w:tentative="0">
      <w:start w:val="1"/>
      <w:numFmt w:val="decimal"/>
      <w:suff w:val="nothing"/>
      <w:lvlText w:val="%1"/>
      <w:lvlJc w:val="left"/>
      <w:pPr>
        <w:ind w:left="596" w:hanging="420"/>
      </w:pPr>
      <w:rPr>
        <w:rFonts w:hint="eastAsia"/>
      </w:rPr>
    </w:lvl>
    <w:lvl w:ilvl="1" w:tentative="0">
      <w:start w:val="1"/>
      <w:numFmt w:val="lowerLetter"/>
      <w:lvlText w:val="%2)"/>
      <w:lvlJc w:val="left"/>
      <w:pPr>
        <w:tabs>
          <w:tab w:val="left" w:pos="1016"/>
        </w:tabs>
        <w:ind w:left="1016" w:hanging="420"/>
      </w:pPr>
      <w:rPr>
        <w:rFonts w:hint="eastAsia"/>
      </w:rPr>
    </w:lvl>
    <w:lvl w:ilvl="2" w:tentative="0">
      <w:start w:val="1"/>
      <w:numFmt w:val="lowerRoman"/>
      <w:lvlText w:val="%3."/>
      <w:lvlJc w:val="right"/>
      <w:pPr>
        <w:tabs>
          <w:tab w:val="left" w:pos="1436"/>
        </w:tabs>
        <w:ind w:left="1436" w:hanging="420"/>
      </w:pPr>
      <w:rPr>
        <w:rFonts w:hint="eastAsia"/>
      </w:rPr>
    </w:lvl>
    <w:lvl w:ilvl="3" w:tentative="0">
      <w:start w:val="1"/>
      <w:numFmt w:val="decimal"/>
      <w:lvlText w:val="%4."/>
      <w:lvlJc w:val="left"/>
      <w:pPr>
        <w:tabs>
          <w:tab w:val="left" w:pos="1856"/>
        </w:tabs>
        <w:ind w:left="1856" w:hanging="420"/>
      </w:pPr>
      <w:rPr>
        <w:rFonts w:hint="eastAsia"/>
      </w:rPr>
    </w:lvl>
    <w:lvl w:ilvl="4" w:tentative="0">
      <w:start w:val="1"/>
      <w:numFmt w:val="lowerLetter"/>
      <w:lvlText w:val="%5)"/>
      <w:lvlJc w:val="left"/>
      <w:pPr>
        <w:tabs>
          <w:tab w:val="left" w:pos="2276"/>
        </w:tabs>
        <w:ind w:left="2276" w:hanging="420"/>
      </w:pPr>
      <w:rPr>
        <w:rFonts w:hint="eastAsia"/>
      </w:rPr>
    </w:lvl>
    <w:lvl w:ilvl="5" w:tentative="0">
      <w:start w:val="1"/>
      <w:numFmt w:val="lowerRoman"/>
      <w:lvlText w:val="%6."/>
      <w:lvlJc w:val="right"/>
      <w:pPr>
        <w:tabs>
          <w:tab w:val="left" w:pos="2696"/>
        </w:tabs>
        <w:ind w:left="2696" w:hanging="420"/>
      </w:pPr>
      <w:rPr>
        <w:rFonts w:hint="eastAsia"/>
      </w:rPr>
    </w:lvl>
    <w:lvl w:ilvl="6" w:tentative="0">
      <w:start w:val="1"/>
      <w:numFmt w:val="decimal"/>
      <w:lvlText w:val="%7."/>
      <w:lvlJc w:val="left"/>
      <w:pPr>
        <w:tabs>
          <w:tab w:val="left" w:pos="3116"/>
        </w:tabs>
        <w:ind w:left="3116" w:hanging="420"/>
      </w:pPr>
      <w:rPr>
        <w:rFonts w:hint="eastAsia"/>
      </w:rPr>
    </w:lvl>
    <w:lvl w:ilvl="7" w:tentative="0">
      <w:start w:val="1"/>
      <w:numFmt w:val="lowerLetter"/>
      <w:lvlText w:val="%8)"/>
      <w:lvlJc w:val="left"/>
      <w:pPr>
        <w:tabs>
          <w:tab w:val="left" w:pos="3536"/>
        </w:tabs>
        <w:ind w:left="3536" w:hanging="420"/>
      </w:pPr>
      <w:rPr>
        <w:rFonts w:hint="eastAsia"/>
      </w:rPr>
    </w:lvl>
    <w:lvl w:ilvl="8" w:tentative="0">
      <w:start w:val="1"/>
      <w:numFmt w:val="lowerRoman"/>
      <w:lvlText w:val="%9."/>
      <w:lvlJc w:val="right"/>
      <w:pPr>
        <w:tabs>
          <w:tab w:val="left" w:pos="3956"/>
        </w:tabs>
        <w:ind w:left="3956" w:hanging="420"/>
      </w:pPr>
      <w:rPr>
        <w:rFonts w:hint="eastAsia"/>
      </w:rPr>
    </w:lvl>
  </w:abstractNum>
  <w:abstractNum w:abstractNumId="24">
    <w:nsid w:val="682F2EA2"/>
    <w:multiLevelType w:val="multilevel"/>
    <w:tmpl w:val="682F2EA2"/>
    <w:lvl w:ilvl="0" w:tentative="0">
      <w:start w:val="1"/>
      <w:numFmt w:val="chineseCountingThousand"/>
      <w:pStyle w:val="229"/>
      <w:lvlText w:val="第%1章"/>
      <w:lvlJc w:val="left"/>
      <w:pPr>
        <w:tabs>
          <w:tab w:val="left" w:pos="340"/>
        </w:tabs>
        <w:ind w:left="0" w:firstLine="0"/>
      </w:pPr>
      <w:rPr>
        <w:rFonts w:hint="eastAsia"/>
      </w:rPr>
    </w:lvl>
    <w:lvl w:ilvl="1" w:tentative="0">
      <w:start w:val="1"/>
      <w:numFmt w:val="decimal"/>
      <w:pStyle w:val="230"/>
      <w:isLgl/>
      <w:suff w:val="space"/>
      <w:lvlText w:val="%1.%2"/>
      <w:lvlJc w:val="left"/>
      <w:pPr>
        <w:ind w:left="0" w:firstLine="0"/>
      </w:pPr>
      <w:rPr>
        <w:rFonts w:hint="eastAsia"/>
      </w:rPr>
    </w:lvl>
    <w:lvl w:ilvl="2" w:tentative="0">
      <w:start w:val="1"/>
      <w:numFmt w:val="decimal"/>
      <w:pStyle w:val="232"/>
      <w:isLgl/>
      <w:suff w:val="space"/>
      <w:lvlText w:val="%1.%2.%3"/>
      <w:lvlJc w:val="left"/>
      <w:pPr>
        <w:ind w:left="0" w:firstLine="0"/>
      </w:pPr>
      <w:rPr>
        <w:rFonts w:hint="eastAsia"/>
      </w:rPr>
    </w:lvl>
    <w:lvl w:ilvl="3" w:tentative="0">
      <w:start w:val="1"/>
      <w:numFmt w:val="decimal"/>
      <w:pStyle w:val="234"/>
      <w:isLgl/>
      <w:suff w:val="space"/>
      <w:lvlText w:val="%1.%2.%3.%4"/>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4" w:tentative="0">
      <w:start w:val="1"/>
      <w:numFmt w:val="decimal"/>
      <w:pStyle w:val="236"/>
      <w:isLgl/>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5">
    <w:nsid w:val="6D314D68"/>
    <w:multiLevelType w:val="multilevel"/>
    <w:tmpl w:val="6D314D68"/>
    <w:lvl w:ilvl="0" w:tentative="0">
      <w:start w:val="1"/>
      <w:numFmt w:val="decimal"/>
      <w:pStyle w:val="254"/>
      <w:lvlText w:val="%1)"/>
      <w:lvlJc w:val="left"/>
      <w:pPr>
        <w:ind w:left="980" w:hanging="420"/>
      </w:pPr>
      <w:rPr>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6">
    <w:nsid w:val="734F656C"/>
    <w:multiLevelType w:val="multilevel"/>
    <w:tmpl w:val="734F656C"/>
    <w:lvl w:ilvl="0" w:tentative="0">
      <w:start w:val="1"/>
      <w:numFmt w:val="decimal"/>
      <w:suff w:val="nothing"/>
      <w:lvlText w:val="%1"/>
      <w:lvlJc w:val="left"/>
      <w:pPr>
        <w:ind w:left="846"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B0E2BCA"/>
    <w:multiLevelType w:val="multilevel"/>
    <w:tmpl w:val="7B0E2BCA"/>
    <w:lvl w:ilvl="0" w:tentative="0">
      <w:start w:val="1"/>
      <w:numFmt w:val="bullet"/>
      <w:pStyle w:val="129"/>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7DD51E1B"/>
    <w:multiLevelType w:val="multilevel"/>
    <w:tmpl w:val="7DD51E1B"/>
    <w:lvl w:ilvl="0" w:tentative="0">
      <w:start w:val="1"/>
      <w:numFmt w:val="decimal"/>
      <w:pStyle w:val="219"/>
      <w:suff w:val="space"/>
      <w:lvlText w:val="%1"/>
      <w:lvlJc w:val="left"/>
      <w:pPr>
        <w:ind w:left="0" w:firstLine="0"/>
      </w:pPr>
      <w:rPr>
        <w:rFonts w:hint="eastAsia"/>
      </w:rPr>
    </w:lvl>
    <w:lvl w:ilvl="1" w:tentative="0">
      <w:start w:val="1"/>
      <w:numFmt w:val="decimal"/>
      <w:pStyle w:val="221"/>
      <w:suff w:val="space"/>
      <w:lvlText w:val="%1.%2"/>
      <w:lvlJc w:val="left"/>
      <w:pPr>
        <w:ind w:left="0" w:firstLine="0"/>
      </w:pPr>
      <w:rPr>
        <w:rFonts w:hint="eastAsia"/>
      </w:rPr>
    </w:lvl>
    <w:lvl w:ilvl="2" w:tentative="0">
      <w:start w:val="1"/>
      <w:numFmt w:val="decimal"/>
      <w:pStyle w:val="223"/>
      <w:suff w:val="space"/>
      <w:lvlText w:val="%1.%2.%3"/>
      <w:lvlJc w:val="left"/>
      <w:pPr>
        <w:ind w:left="0" w:firstLine="0"/>
      </w:pPr>
      <w:rPr>
        <w:rFonts w:hint="eastAsia"/>
      </w:rPr>
    </w:lvl>
    <w:lvl w:ilvl="3" w:tentative="0">
      <w:start w:val="1"/>
      <w:numFmt w:val="decimal"/>
      <w:pStyle w:val="225"/>
      <w:suff w:val="space"/>
      <w:lvlText w:val="%1.%2.%3.%4"/>
      <w:lvlJc w:val="left"/>
      <w:pPr>
        <w:ind w:left="0" w:firstLine="0"/>
      </w:pPr>
      <w:rPr>
        <w:rFonts w:hint="eastAsia"/>
      </w:rPr>
    </w:lvl>
    <w:lvl w:ilvl="4" w:tentative="0">
      <w:start w:val="1"/>
      <w:numFmt w:val="decimal"/>
      <w:pStyle w:val="227"/>
      <w:suff w:val="space"/>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7"/>
  </w:num>
  <w:num w:numId="2">
    <w:abstractNumId w:val="14"/>
  </w:num>
  <w:num w:numId="3">
    <w:abstractNumId w:val="6"/>
  </w:num>
  <w:num w:numId="4">
    <w:abstractNumId w:val="7"/>
  </w:num>
  <w:num w:numId="5">
    <w:abstractNumId w:val="3"/>
  </w:num>
  <w:num w:numId="6">
    <w:abstractNumId w:val="10"/>
  </w:num>
  <w:num w:numId="7">
    <w:abstractNumId w:val="13"/>
    <w:lvlOverride w:ilvl="0">
      <w:lvl w:ilvl="0" w:tentative="1">
        <w:start w:val="1"/>
        <w:numFmt w:val="decimal"/>
        <w:pStyle w:val="115"/>
        <w:lvlText w:val="%1."/>
        <w:lvlJc w:val="left"/>
        <w:pPr>
          <w:tabs>
            <w:tab w:val="left" w:pos="420"/>
          </w:tabs>
          <w:ind w:left="0" w:firstLine="420"/>
        </w:pPr>
        <w:rPr>
          <w:rFonts w:hint="eastAsia"/>
        </w:rPr>
      </w:lvl>
    </w:lvlOverride>
    <w:lvlOverride w:ilvl="1">
      <w:lvl w:ilvl="1" w:tentative="1">
        <w:start w:val="1"/>
        <w:numFmt w:val="decimal"/>
        <w:pStyle w:val="116"/>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1"/>
  </w:num>
  <w:num w:numId="9">
    <w:abstractNumId w:val="27"/>
  </w:num>
  <w:num w:numId="10">
    <w:abstractNumId w:val="4"/>
  </w:num>
  <w:num w:numId="11">
    <w:abstractNumId w:val="19"/>
  </w:num>
  <w:num w:numId="12">
    <w:abstractNumId w:val="21"/>
  </w:num>
  <w:num w:numId="13">
    <w:abstractNumId w:val="2"/>
  </w:num>
  <w:num w:numId="14">
    <w:abstractNumId w:val="28"/>
  </w:num>
  <w:num w:numId="15">
    <w:abstractNumId w:val="24"/>
  </w:num>
  <w:num w:numId="16">
    <w:abstractNumId w:val="12"/>
  </w:num>
  <w:num w:numId="17">
    <w:abstractNumId w:val="20"/>
  </w:num>
  <w:num w:numId="18">
    <w:abstractNumId w:val="25"/>
  </w:num>
  <w:num w:numId="19">
    <w:abstractNumId w:val="15"/>
  </w:num>
  <w:num w:numId="20">
    <w:abstractNumId w:val="11"/>
  </w:num>
  <w:num w:numId="21">
    <w:abstractNumId w:val="26"/>
  </w:num>
  <w:num w:numId="22">
    <w:abstractNumId w:val="23"/>
  </w:num>
  <w:num w:numId="23">
    <w:abstractNumId w:val="18"/>
  </w:num>
  <w:num w:numId="24">
    <w:abstractNumId w:val="22"/>
  </w:num>
  <w:num w:numId="25">
    <w:abstractNumId w:val="0"/>
  </w:num>
  <w:num w:numId="26">
    <w:abstractNumId w:val="5"/>
  </w:num>
  <w:num w:numId="27">
    <w:abstractNumId w:val="8"/>
  </w:num>
  <w:num w:numId="28">
    <w:abstractNumId w:val="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C5683"/>
    <w:rsid w:val="0000037F"/>
    <w:rsid w:val="000006B9"/>
    <w:rsid w:val="00000941"/>
    <w:rsid w:val="00000AFB"/>
    <w:rsid w:val="00000DA4"/>
    <w:rsid w:val="0000145B"/>
    <w:rsid w:val="000014DA"/>
    <w:rsid w:val="0000159C"/>
    <w:rsid w:val="000015FD"/>
    <w:rsid w:val="00001AEA"/>
    <w:rsid w:val="00001BB5"/>
    <w:rsid w:val="00001CE0"/>
    <w:rsid w:val="00002C5F"/>
    <w:rsid w:val="00002F9F"/>
    <w:rsid w:val="0000306D"/>
    <w:rsid w:val="00003085"/>
    <w:rsid w:val="000036F7"/>
    <w:rsid w:val="000038EB"/>
    <w:rsid w:val="00003CC2"/>
    <w:rsid w:val="00004161"/>
    <w:rsid w:val="00004251"/>
    <w:rsid w:val="00004FCD"/>
    <w:rsid w:val="00005215"/>
    <w:rsid w:val="00005A10"/>
    <w:rsid w:val="00005AB7"/>
    <w:rsid w:val="00005AFC"/>
    <w:rsid w:val="00006D66"/>
    <w:rsid w:val="00007964"/>
    <w:rsid w:val="00010102"/>
    <w:rsid w:val="00010C00"/>
    <w:rsid w:val="000110A3"/>
    <w:rsid w:val="00011118"/>
    <w:rsid w:val="0001175B"/>
    <w:rsid w:val="00011A0C"/>
    <w:rsid w:val="000123F9"/>
    <w:rsid w:val="000124E2"/>
    <w:rsid w:val="000125F8"/>
    <w:rsid w:val="0001275D"/>
    <w:rsid w:val="00012C0A"/>
    <w:rsid w:val="00013948"/>
    <w:rsid w:val="0001457B"/>
    <w:rsid w:val="00014E10"/>
    <w:rsid w:val="00014F58"/>
    <w:rsid w:val="000151D5"/>
    <w:rsid w:val="000154D8"/>
    <w:rsid w:val="00015968"/>
    <w:rsid w:val="00015E98"/>
    <w:rsid w:val="00015F4B"/>
    <w:rsid w:val="0001610E"/>
    <w:rsid w:val="0001634A"/>
    <w:rsid w:val="00016BDA"/>
    <w:rsid w:val="00016D58"/>
    <w:rsid w:val="00017112"/>
    <w:rsid w:val="0001716B"/>
    <w:rsid w:val="0001792D"/>
    <w:rsid w:val="0001794C"/>
    <w:rsid w:val="00017C15"/>
    <w:rsid w:val="00020321"/>
    <w:rsid w:val="00020B36"/>
    <w:rsid w:val="000211EA"/>
    <w:rsid w:val="0002152F"/>
    <w:rsid w:val="000218B0"/>
    <w:rsid w:val="00022196"/>
    <w:rsid w:val="000223E5"/>
    <w:rsid w:val="00022B27"/>
    <w:rsid w:val="00022E19"/>
    <w:rsid w:val="000234B2"/>
    <w:rsid w:val="0002355C"/>
    <w:rsid w:val="0002382E"/>
    <w:rsid w:val="00023B0F"/>
    <w:rsid w:val="0002401D"/>
    <w:rsid w:val="000242CF"/>
    <w:rsid w:val="000244E1"/>
    <w:rsid w:val="000245FE"/>
    <w:rsid w:val="000252D1"/>
    <w:rsid w:val="00025673"/>
    <w:rsid w:val="00025E39"/>
    <w:rsid w:val="00026596"/>
    <w:rsid w:val="00026A09"/>
    <w:rsid w:val="0003072D"/>
    <w:rsid w:val="000307E2"/>
    <w:rsid w:val="0003148B"/>
    <w:rsid w:val="0003163D"/>
    <w:rsid w:val="00031700"/>
    <w:rsid w:val="00031E25"/>
    <w:rsid w:val="00031F18"/>
    <w:rsid w:val="00031F6E"/>
    <w:rsid w:val="00032090"/>
    <w:rsid w:val="000325A7"/>
    <w:rsid w:val="0003373D"/>
    <w:rsid w:val="00033B7B"/>
    <w:rsid w:val="000343AB"/>
    <w:rsid w:val="00034B41"/>
    <w:rsid w:val="0003503F"/>
    <w:rsid w:val="00035983"/>
    <w:rsid w:val="000359C1"/>
    <w:rsid w:val="0003617B"/>
    <w:rsid w:val="000372DD"/>
    <w:rsid w:val="000377F6"/>
    <w:rsid w:val="00037A3B"/>
    <w:rsid w:val="00037F52"/>
    <w:rsid w:val="00037F54"/>
    <w:rsid w:val="0004000A"/>
    <w:rsid w:val="0004001C"/>
    <w:rsid w:val="000401D1"/>
    <w:rsid w:val="00040D3C"/>
    <w:rsid w:val="0004120F"/>
    <w:rsid w:val="0004143A"/>
    <w:rsid w:val="00041B72"/>
    <w:rsid w:val="00041B9A"/>
    <w:rsid w:val="00041E1A"/>
    <w:rsid w:val="00042632"/>
    <w:rsid w:val="0004282A"/>
    <w:rsid w:val="00043131"/>
    <w:rsid w:val="000436E0"/>
    <w:rsid w:val="00043A7B"/>
    <w:rsid w:val="00043A89"/>
    <w:rsid w:val="00044204"/>
    <w:rsid w:val="00044591"/>
    <w:rsid w:val="00044926"/>
    <w:rsid w:val="00044E2A"/>
    <w:rsid w:val="00045157"/>
    <w:rsid w:val="00045720"/>
    <w:rsid w:val="00045739"/>
    <w:rsid w:val="00045AD6"/>
    <w:rsid w:val="00045D2B"/>
    <w:rsid w:val="0004692C"/>
    <w:rsid w:val="000474C8"/>
    <w:rsid w:val="000500A8"/>
    <w:rsid w:val="000510B6"/>
    <w:rsid w:val="00051C09"/>
    <w:rsid w:val="00051D3E"/>
    <w:rsid w:val="00051F3F"/>
    <w:rsid w:val="000523BE"/>
    <w:rsid w:val="00052BC1"/>
    <w:rsid w:val="00053715"/>
    <w:rsid w:val="0005381C"/>
    <w:rsid w:val="000538BE"/>
    <w:rsid w:val="00053A25"/>
    <w:rsid w:val="00055014"/>
    <w:rsid w:val="000557BC"/>
    <w:rsid w:val="0005582B"/>
    <w:rsid w:val="00055892"/>
    <w:rsid w:val="00055C4B"/>
    <w:rsid w:val="000566D1"/>
    <w:rsid w:val="0005677F"/>
    <w:rsid w:val="00056E39"/>
    <w:rsid w:val="00057332"/>
    <w:rsid w:val="00057888"/>
    <w:rsid w:val="000601F6"/>
    <w:rsid w:val="00060279"/>
    <w:rsid w:val="000602D1"/>
    <w:rsid w:val="00060346"/>
    <w:rsid w:val="00060828"/>
    <w:rsid w:val="00060E5A"/>
    <w:rsid w:val="0006171E"/>
    <w:rsid w:val="00061BBA"/>
    <w:rsid w:val="00061C1A"/>
    <w:rsid w:val="00061DCB"/>
    <w:rsid w:val="000625CA"/>
    <w:rsid w:val="0006267A"/>
    <w:rsid w:val="00062882"/>
    <w:rsid w:val="00062BA0"/>
    <w:rsid w:val="00062C42"/>
    <w:rsid w:val="00062FE2"/>
    <w:rsid w:val="00063131"/>
    <w:rsid w:val="000638A2"/>
    <w:rsid w:val="000638E3"/>
    <w:rsid w:val="00063CD3"/>
    <w:rsid w:val="00063F40"/>
    <w:rsid w:val="00063FD9"/>
    <w:rsid w:val="0006640B"/>
    <w:rsid w:val="0006670C"/>
    <w:rsid w:val="000668A8"/>
    <w:rsid w:val="00067A02"/>
    <w:rsid w:val="00067B7F"/>
    <w:rsid w:val="00067D5E"/>
    <w:rsid w:val="00070409"/>
    <w:rsid w:val="0007051D"/>
    <w:rsid w:val="00070736"/>
    <w:rsid w:val="000709E4"/>
    <w:rsid w:val="00071878"/>
    <w:rsid w:val="00073180"/>
    <w:rsid w:val="00073340"/>
    <w:rsid w:val="000738F2"/>
    <w:rsid w:val="0007455E"/>
    <w:rsid w:val="000745AD"/>
    <w:rsid w:val="00074662"/>
    <w:rsid w:val="00074870"/>
    <w:rsid w:val="000749AF"/>
    <w:rsid w:val="00075086"/>
    <w:rsid w:val="000750DC"/>
    <w:rsid w:val="0007542D"/>
    <w:rsid w:val="00075C4A"/>
    <w:rsid w:val="0007615C"/>
    <w:rsid w:val="00077188"/>
    <w:rsid w:val="000779E7"/>
    <w:rsid w:val="000804FA"/>
    <w:rsid w:val="000809EC"/>
    <w:rsid w:val="0008103C"/>
    <w:rsid w:val="000811DA"/>
    <w:rsid w:val="000814D3"/>
    <w:rsid w:val="0008171D"/>
    <w:rsid w:val="00081A6E"/>
    <w:rsid w:val="00082667"/>
    <w:rsid w:val="00083AAF"/>
    <w:rsid w:val="00083DC6"/>
    <w:rsid w:val="000847ED"/>
    <w:rsid w:val="00085023"/>
    <w:rsid w:val="00085592"/>
    <w:rsid w:val="00085624"/>
    <w:rsid w:val="000862AC"/>
    <w:rsid w:val="000869D8"/>
    <w:rsid w:val="00086C4F"/>
    <w:rsid w:val="0008702E"/>
    <w:rsid w:val="00087A08"/>
    <w:rsid w:val="00091179"/>
    <w:rsid w:val="0009141A"/>
    <w:rsid w:val="000914AE"/>
    <w:rsid w:val="000924E5"/>
    <w:rsid w:val="00092590"/>
    <w:rsid w:val="0009269A"/>
    <w:rsid w:val="000927D9"/>
    <w:rsid w:val="00092B27"/>
    <w:rsid w:val="00092CD0"/>
    <w:rsid w:val="00092FC7"/>
    <w:rsid w:val="00093003"/>
    <w:rsid w:val="00094AA4"/>
    <w:rsid w:val="00094EB7"/>
    <w:rsid w:val="000950A7"/>
    <w:rsid w:val="00095480"/>
    <w:rsid w:val="000954D5"/>
    <w:rsid w:val="00095778"/>
    <w:rsid w:val="0009618D"/>
    <w:rsid w:val="000961F2"/>
    <w:rsid w:val="000962FC"/>
    <w:rsid w:val="00096AAC"/>
    <w:rsid w:val="00096DC4"/>
    <w:rsid w:val="0009709B"/>
    <w:rsid w:val="0009778F"/>
    <w:rsid w:val="00097F3D"/>
    <w:rsid w:val="000A0441"/>
    <w:rsid w:val="000A0468"/>
    <w:rsid w:val="000A05B3"/>
    <w:rsid w:val="000A05DC"/>
    <w:rsid w:val="000A0B8E"/>
    <w:rsid w:val="000A0C3E"/>
    <w:rsid w:val="000A0EF0"/>
    <w:rsid w:val="000A1CAD"/>
    <w:rsid w:val="000A21E9"/>
    <w:rsid w:val="000A28E2"/>
    <w:rsid w:val="000A2927"/>
    <w:rsid w:val="000A2C6D"/>
    <w:rsid w:val="000A373A"/>
    <w:rsid w:val="000A48A7"/>
    <w:rsid w:val="000A4FD0"/>
    <w:rsid w:val="000A599B"/>
    <w:rsid w:val="000A6036"/>
    <w:rsid w:val="000A6EE8"/>
    <w:rsid w:val="000A6F39"/>
    <w:rsid w:val="000A709B"/>
    <w:rsid w:val="000A7241"/>
    <w:rsid w:val="000A7E36"/>
    <w:rsid w:val="000B02C2"/>
    <w:rsid w:val="000B05E2"/>
    <w:rsid w:val="000B10BA"/>
    <w:rsid w:val="000B11E0"/>
    <w:rsid w:val="000B15A6"/>
    <w:rsid w:val="000B19A9"/>
    <w:rsid w:val="000B2568"/>
    <w:rsid w:val="000B2BB0"/>
    <w:rsid w:val="000B381C"/>
    <w:rsid w:val="000B428A"/>
    <w:rsid w:val="000B44C8"/>
    <w:rsid w:val="000B4591"/>
    <w:rsid w:val="000B46FF"/>
    <w:rsid w:val="000B4BCB"/>
    <w:rsid w:val="000B5447"/>
    <w:rsid w:val="000B56CC"/>
    <w:rsid w:val="000B6961"/>
    <w:rsid w:val="000B69EB"/>
    <w:rsid w:val="000B6B59"/>
    <w:rsid w:val="000B6ECA"/>
    <w:rsid w:val="000B6F4E"/>
    <w:rsid w:val="000B71D2"/>
    <w:rsid w:val="000B7228"/>
    <w:rsid w:val="000B73D3"/>
    <w:rsid w:val="000B7966"/>
    <w:rsid w:val="000B7AF7"/>
    <w:rsid w:val="000B7D06"/>
    <w:rsid w:val="000C0173"/>
    <w:rsid w:val="000C1C71"/>
    <w:rsid w:val="000C1EE4"/>
    <w:rsid w:val="000C2446"/>
    <w:rsid w:val="000C2FC5"/>
    <w:rsid w:val="000C3360"/>
    <w:rsid w:val="000C3C43"/>
    <w:rsid w:val="000C3D9C"/>
    <w:rsid w:val="000C427C"/>
    <w:rsid w:val="000C4425"/>
    <w:rsid w:val="000C52D7"/>
    <w:rsid w:val="000C580F"/>
    <w:rsid w:val="000C5F59"/>
    <w:rsid w:val="000C61EA"/>
    <w:rsid w:val="000C6975"/>
    <w:rsid w:val="000C6BA7"/>
    <w:rsid w:val="000C70F7"/>
    <w:rsid w:val="000C7B04"/>
    <w:rsid w:val="000D0132"/>
    <w:rsid w:val="000D1275"/>
    <w:rsid w:val="000D12AA"/>
    <w:rsid w:val="000D1A7D"/>
    <w:rsid w:val="000D2309"/>
    <w:rsid w:val="000D2390"/>
    <w:rsid w:val="000D23AD"/>
    <w:rsid w:val="000D2C15"/>
    <w:rsid w:val="000D350D"/>
    <w:rsid w:val="000D35B7"/>
    <w:rsid w:val="000D38F9"/>
    <w:rsid w:val="000D394A"/>
    <w:rsid w:val="000D40F0"/>
    <w:rsid w:val="000D495E"/>
    <w:rsid w:val="000D4AF6"/>
    <w:rsid w:val="000D4CFC"/>
    <w:rsid w:val="000D4E09"/>
    <w:rsid w:val="000D53B3"/>
    <w:rsid w:val="000D5864"/>
    <w:rsid w:val="000D58D2"/>
    <w:rsid w:val="000D5DD9"/>
    <w:rsid w:val="000D6AF1"/>
    <w:rsid w:val="000D6B42"/>
    <w:rsid w:val="000D6DA4"/>
    <w:rsid w:val="000D7E27"/>
    <w:rsid w:val="000E0040"/>
    <w:rsid w:val="000E01F1"/>
    <w:rsid w:val="000E0227"/>
    <w:rsid w:val="000E065D"/>
    <w:rsid w:val="000E0C54"/>
    <w:rsid w:val="000E121A"/>
    <w:rsid w:val="000E121E"/>
    <w:rsid w:val="000E14A4"/>
    <w:rsid w:val="000E14C6"/>
    <w:rsid w:val="000E166A"/>
    <w:rsid w:val="000E1C23"/>
    <w:rsid w:val="000E2B5B"/>
    <w:rsid w:val="000E2F34"/>
    <w:rsid w:val="000E301B"/>
    <w:rsid w:val="000E3EAF"/>
    <w:rsid w:val="000E4DE8"/>
    <w:rsid w:val="000E60B2"/>
    <w:rsid w:val="000E682C"/>
    <w:rsid w:val="000E69FE"/>
    <w:rsid w:val="000E6C9A"/>
    <w:rsid w:val="000F05A8"/>
    <w:rsid w:val="000F0E4C"/>
    <w:rsid w:val="000F0F13"/>
    <w:rsid w:val="000F15AE"/>
    <w:rsid w:val="000F179C"/>
    <w:rsid w:val="000F1A83"/>
    <w:rsid w:val="000F1FA3"/>
    <w:rsid w:val="000F2065"/>
    <w:rsid w:val="000F2359"/>
    <w:rsid w:val="000F2A88"/>
    <w:rsid w:val="000F2BEE"/>
    <w:rsid w:val="000F2D1B"/>
    <w:rsid w:val="000F353A"/>
    <w:rsid w:val="000F3ADB"/>
    <w:rsid w:val="000F3E69"/>
    <w:rsid w:val="000F3FA1"/>
    <w:rsid w:val="000F41E9"/>
    <w:rsid w:val="000F4752"/>
    <w:rsid w:val="000F480C"/>
    <w:rsid w:val="000F48D9"/>
    <w:rsid w:val="000F4B7E"/>
    <w:rsid w:val="000F4E82"/>
    <w:rsid w:val="000F51DA"/>
    <w:rsid w:val="000F5577"/>
    <w:rsid w:val="000F565B"/>
    <w:rsid w:val="000F5789"/>
    <w:rsid w:val="000F57BF"/>
    <w:rsid w:val="000F5842"/>
    <w:rsid w:val="000F5F3F"/>
    <w:rsid w:val="000F67AA"/>
    <w:rsid w:val="000F7A66"/>
    <w:rsid w:val="00100583"/>
    <w:rsid w:val="001005AD"/>
    <w:rsid w:val="001018E7"/>
    <w:rsid w:val="001019D8"/>
    <w:rsid w:val="00101C3F"/>
    <w:rsid w:val="00101DD0"/>
    <w:rsid w:val="00102555"/>
    <w:rsid w:val="00102D63"/>
    <w:rsid w:val="00102F06"/>
    <w:rsid w:val="00103DFC"/>
    <w:rsid w:val="001040E1"/>
    <w:rsid w:val="001047E8"/>
    <w:rsid w:val="00104B2A"/>
    <w:rsid w:val="00104E51"/>
    <w:rsid w:val="00104F15"/>
    <w:rsid w:val="001051A9"/>
    <w:rsid w:val="0010553F"/>
    <w:rsid w:val="00105BA0"/>
    <w:rsid w:val="00105C7A"/>
    <w:rsid w:val="001061D3"/>
    <w:rsid w:val="00106748"/>
    <w:rsid w:val="001067A8"/>
    <w:rsid w:val="0010688F"/>
    <w:rsid w:val="00106A04"/>
    <w:rsid w:val="00106AF7"/>
    <w:rsid w:val="001075B1"/>
    <w:rsid w:val="00107AB7"/>
    <w:rsid w:val="00107D54"/>
    <w:rsid w:val="00107E28"/>
    <w:rsid w:val="00110079"/>
    <w:rsid w:val="00110173"/>
    <w:rsid w:val="00110A90"/>
    <w:rsid w:val="001111F7"/>
    <w:rsid w:val="00111A14"/>
    <w:rsid w:val="001138DA"/>
    <w:rsid w:val="00114CB1"/>
    <w:rsid w:val="00114D5C"/>
    <w:rsid w:val="00115399"/>
    <w:rsid w:val="00115711"/>
    <w:rsid w:val="0011585F"/>
    <w:rsid w:val="00115A55"/>
    <w:rsid w:val="00115AD7"/>
    <w:rsid w:val="00115B7D"/>
    <w:rsid w:val="00116224"/>
    <w:rsid w:val="001165DD"/>
    <w:rsid w:val="00116971"/>
    <w:rsid w:val="001172D4"/>
    <w:rsid w:val="00117316"/>
    <w:rsid w:val="001173B4"/>
    <w:rsid w:val="00117A19"/>
    <w:rsid w:val="001208AF"/>
    <w:rsid w:val="001212EF"/>
    <w:rsid w:val="001215C5"/>
    <w:rsid w:val="001217DC"/>
    <w:rsid w:val="0012203F"/>
    <w:rsid w:val="00122873"/>
    <w:rsid w:val="00122EAA"/>
    <w:rsid w:val="00123243"/>
    <w:rsid w:val="00123CC6"/>
    <w:rsid w:val="001241FC"/>
    <w:rsid w:val="0012517B"/>
    <w:rsid w:val="00125202"/>
    <w:rsid w:val="00125C68"/>
    <w:rsid w:val="00125C8A"/>
    <w:rsid w:val="00125E74"/>
    <w:rsid w:val="00126066"/>
    <w:rsid w:val="00126080"/>
    <w:rsid w:val="001264D8"/>
    <w:rsid w:val="00126953"/>
    <w:rsid w:val="00126AD5"/>
    <w:rsid w:val="00126B0A"/>
    <w:rsid w:val="00126C43"/>
    <w:rsid w:val="00126EEB"/>
    <w:rsid w:val="001275EA"/>
    <w:rsid w:val="00127777"/>
    <w:rsid w:val="001305BF"/>
    <w:rsid w:val="001307D9"/>
    <w:rsid w:val="00130827"/>
    <w:rsid w:val="001308A2"/>
    <w:rsid w:val="00130C56"/>
    <w:rsid w:val="00131668"/>
    <w:rsid w:val="001319AB"/>
    <w:rsid w:val="001321FC"/>
    <w:rsid w:val="001325A9"/>
    <w:rsid w:val="00132638"/>
    <w:rsid w:val="0013288F"/>
    <w:rsid w:val="00132F55"/>
    <w:rsid w:val="00132FAF"/>
    <w:rsid w:val="001330B3"/>
    <w:rsid w:val="001333A3"/>
    <w:rsid w:val="00133AF5"/>
    <w:rsid w:val="00133D2B"/>
    <w:rsid w:val="00133F4C"/>
    <w:rsid w:val="001342FB"/>
    <w:rsid w:val="00134374"/>
    <w:rsid w:val="001343C8"/>
    <w:rsid w:val="00134AF9"/>
    <w:rsid w:val="00134B47"/>
    <w:rsid w:val="00134B53"/>
    <w:rsid w:val="00134C5F"/>
    <w:rsid w:val="00134D6D"/>
    <w:rsid w:val="00135640"/>
    <w:rsid w:val="00136467"/>
    <w:rsid w:val="00136543"/>
    <w:rsid w:val="001366F0"/>
    <w:rsid w:val="00136704"/>
    <w:rsid w:val="001377FF"/>
    <w:rsid w:val="0014046D"/>
    <w:rsid w:val="00140D6F"/>
    <w:rsid w:val="00142838"/>
    <w:rsid w:val="00143282"/>
    <w:rsid w:val="00143430"/>
    <w:rsid w:val="00143653"/>
    <w:rsid w:val="0014396D"/>
    <w:rsid w:val="00143B3A"/>
    <w:rsid w:val="00144298"/>
    <w:rsid w:val="001444E2"/>
    <w:rsid w:val="001446E6"/>
    <w:rsid w:val="00144959"/>
    <w:rsid w:val="00144B1C"/>
    <w:rsid w:val="0014521C"/>
    <w:rsid w:val="0014539A"/>
    <w:rsid w:val="0014549B"/>
    <w:rsid w:val="0014599D"/>
    <w:rsid w:val="00146A71"/>
    <w:rsid w:val="00146AE7"/>
    <w:rsid w:val="00147350"/>
    <w:rsid w:val="00147AE8"/>
    <w:rsid w:val="00147B3F"/>
    <w:rsid w:val="00150012"/>
    <w:rsid w:val="00150829"/>
    <w:rsid w:val="001520F3"/>
    <w:rsid w:val="00152CBF"/>
    <w:rsid w:val="001530C6"/>
    <w:rsid w:val="001530CC"/>
    <w:rsid w:val="001530FC"/>
    <w:rsid w:val="00153212"/>
    <w:rsid w:val="00153237"/>
    <w:rsid w:val="00153387"/>
    <w:rsid w:val="0015359C"/>
    <w:rsid w:val="0015366C"/>
    <w:rsid w:val="001540C3"/>
    <w:rsid w:val="00154156"/>
    <w:rsid w:val="00154BE4"/>
    <w:rsid w:val="00154CC9"/>
    <w:rsid w:val="001559C0"/>
    <w:rsid w:val="00155AB6"/>
    <w:rsid w:val="00155FB8"/>
    <w:rsid w:val="001560F0"/>
    <w:rsid w:val="00156987"/>
    <w:rsid w:val="00156D80"/>
    <w:rsid w:val="00156DC1"/>
    <w:rsid w:val="00157E23"/>
    <w:rsid w:val="00157FC3"/>
    <w:rsid w:val="0016028E"/>
    <w:rsid w:val="00160854"/>
    <w:rsid w:val="001610A3"/>
    <w:rsid w:val="00161C84"/>
    <w:rsid w:val="001623F2"/>
    <w:rsid w:val="00162651"/>
    <w:rsid w:val="001626BD"/>
    <w:rsid w:val="00162D35"/>
    <w:rsid w:val="001635AE"/>
    <w:rsid w:val="001635DB"/>
    <w:rsid w:val="0016379F"/>
    <w:rsid w:val="00163812"/>
    <w:rsid w:val="00163865"/>
    <w:rsid w:val="0016482C"/>
    <w:rsid w:val="0016483A"/>
    <w:rsid w:val="00164A38"/>
    <w:rsid w:val="00164E23"/>
    <w:rsid w:val="00164FD8"/>
    <w:rsid w:val="001650F8"/>
    <w:rsid w:val="00165222"/>
    <w:rsid w:val="001652FD"/>
    <w:rsid w:val="0016595F"/>
    <w:rsid w:val="00165A06"/>
    <w:rsid w:val="00166372"/>
    <w:rsid w:val="001663C2"/>
    <w:rsid w:val="00166A2C"/>
    <w:rsid w:val="001675AC"/>
    <w:rsid w:val="00167879"/>
    <w:rsid w:val="001678AE"/>
    <w:rsid w:val="00167E9C"/>
    <w:rsid w:val="00170BD9"/>
    <w:rsid w:val="00170E88"/>
    <w:rsid w:val="001715D2"/>
    <w:rsid w:val="0017191D"/>
    <w:rsid w:val="00171B3F"/>
    <w:rsid w:val="00171E87"/>
    <w:rsid w:val="00171FD5"/>
    <w:rsid w:val="00172369"/>
    <w:rsid w:val="00172D74"/>
    <w:rsid w:val="0017320F"/>
    <w:rsid w:val="00173374"/>
    <w:rsid w:val="0017350C"/>
    <w:rsid w:val="00173873"/>
    <w:rsid w:val="00174FBF"/>
    <w:rsid w:val="0017584B"/>
    <w:rsid w:val="00175E0B"/>
    <w:rsid w:val="00175E43"/>
    <w:rsid w:val="00176286"/>
    <w:rsid w:val="00176BC7"/>
    <w:rsid w:val="00177167"/>
    <w:rsid w:val="00180F00"/>
    <w:rsid w:val="001813D7"/>
    <w:rsid w:val="00181EFF"/>
    <w:rsid w:val="0018205E"/>
    <w:rsid w:val="00182A05"/>
    <w:rsid w:val="00182A09"/>
    <w:rsid w:val="001834DC"/>
    <w:rsid w:val="0018360E"/>
    <w:rsid w:val="00183959"/>
    <w:rsid w:val="00183C79"/>
    <w:rsid w:val="00183C8B"/>
    <w:rsid w:val="00183E75"/>
    <w:rsid w:val="00184465"/>
    <w:rsid w:val="001845CF"/>
    <w:rsid w:val="00184BF0"/>
    <w:rsid w:val="00185508"/>
    <w:rsid w:val="001857BB"/>
    <w:rsid w:val="001865BB"/>
    <w:rsid w:val="00187339"/>
    <w:rsid w:val="00187518"/>
    <w:rsid w:val="00187941"/>
    <w:rsid w:val="00190552"/>
    <w:rsid w:val="00190FB6"/>
    <w:rsid w:val="001911C7"/>
    <w:rsid w:val="001912E3"/>
    <w:rsid w:val="001913D0"/>
    <w:rsid w:val="00191B7F"/>
    <w:rsid w:val="001933A1"/>
    <w:rsid w:val="00193911"/>
    <w:rsid w:val="00194444"/>
    <w:rsid w:val="00194FD4"/>
    <w:rsid w:val="00195092"/>
    <w:rsid w:val="001952F2"/>
    <w:rsid w:val="0019560F"/>
    <w:rsid w:val="00195AC6"/>
    <w:rsid w:val="00195BE2"/>
    <w:rsid w:val="00195DED"/>
    <w:rsid w:val="00196B4E"/>
    <w:rsid w:val="00196E75"/>
    <w:rsid w:val="00197D73"/>
    <w:rsid w:val="00197F24"/>
    <w:rsid w:val="001A027A"/>
    <w:rsid w:val="001A0577"/>
    <w:rsid w:val="001A0C05"/>
    <w:rsid w:val="001A0D2C"/>
    <w:rsid w:val="001A2025"/>
    <w:rsid w:val="001A2282"/>
    <w:rsid w:val="001A3425"/>
    <w:rsid w:val="001A35A9"/>
    <w:rsid w:val="001A37A1"/>
    <w:rsid w:val="001A398D"/>
    <w:rsid w:val="001A3AE8"/>
    <w:rsid w:val="001A41EA"/>
    <w:rsid w:val="001A422B"/>
    <w:rsid w:val="001A440A"/>
    <w:rsid w:val="001A4441"/>
    <w:rsid w:val="001A4A55"/>
    <w:rsid w:val="001A4BB5"/>
    <w:rsid w:val="001A4F44"/>
    <w:rsid w:val="001A53DF"/>
    <w:rsid w:val="001A54DC"/>
    <w:rsid w:val="001A57CF"/>
    <w:rsid w:val="001A5D61"/>
    <w:rsid w:val="001A6A4F"/>
    <w:rsid w:val="001A76B7"/>
    <w:rsid w:val="001B0C8A"/>
    <w:rsid w:val="001B112B"/>
    <w:rsid w:val="001B1339"/>
    <w:rsid w:val="001B197E"/>
    <w:rsid w:val="001B1FC5"/>
    <w:rsid w:val="001B26FF"/>
    <w:rsid w:val="001B2B6A"/>
    <w:rsid w:val="001B2CC0"/>
    <w:rsid w:val="001B32B8"/>
    <w:rsid w:val="001B4A03"/>
    <w:rsid w:val="001B4AD1"/>
    <w:rsid w:val="001B5614"/>
    <w:rsid w:val="001B5B57"/>
    <w:rsid w:val="001B6B20"/>
    <w:rsid w:val="001B783E"/>
    <w:rsid w:val="001B7892"/>
    <w:rsid w:val="001B7BEC"/>
    <w:rsid w:val="001B7F36"/>
    <w:rsid w:val="001C006F"/>
    <w:rsid w:val="001C04B2"/>
    <w:rsid w:val="001C07C5"/>
    <w:rsid w:val="001C0D59"/>
    <w:rsid w:val="001C0DED"/>
    <w:rsid w:val="001C1FDE"/>
    <w:rsid w:val="001C2140"/>
    <w:rsid w:val="001C2493"/>
    <w:rsid w:val="001C2A9D"/>
    <w:rsid w:val="001C2C77"/>
    <w:rsid w:val="001C3021"/>
    <w:rsid w:val="001C3737"/>
    <w:rsid w:val="001C3CC2"/>
    <w:rsid w:val="001C3ECC"/>
    <w:rsid w:val="001C3F78"/>
    <w:rsid w:val="001C44BE"/>
    <w:rsid w:val="001C4592"/>
    <w:rsid w:val="001C4BD7"/>
    <w:rsid w:val="001C5839"/>
    <w:rsid w:val="001C5986"/>
    <w:rsid w:val="001C61B1"/>
    <w:rsid w:val="001C62D6"/>
    <w:rsid w:val="001C6AF5"/>
    <w:rsid w:val="001C77E1"/>
    <w:rsid w:val="001C7ADA"/>
    <w:rsid w:val="001D0A66"/>
    <w:rsid w:val="001D1872"/>
    <w:rsid w:val="001D1C05"/>
    <w:rsid w:val="001D1C72"/>
    <w:rsid w:val="001D2CC8"/>
    <w:rsid w:val="001D2F0C"/>
    <w:rsid w:val="001D2FF7"/>
    <w:rsid w:val="001D3543"/>
    <w:rsid w:val="001D3930"/>
    <w:rsid w:val="001D3A40"/>
    <w:rsid w:val="001D46EF"/>
    <w:rsid w:val="001D4AF5"/>
    <w:rsid w:val="001D58E5"/>
    <w:rsid w:val="001D5FDE"/>
    <w:rsid w:val="001D6191"/>
    <w:rsid w:val="001D6289"/>
    <w:rsid w:val="001D62D7"/>
    <w:rsid w:val="001D650B"/>
    <w:rsid w:val="001D6563"/>
    <w:rsid w:val="001D6CA4"/>
    <w:rsid w:val="001D76AD"/>
    <w:rsid w:val="001D7A5C"/>
    <w:rsid w:val="001D7BC8"/>
    <w:rsid w:val="001E072E"/>
    <w:rsid w:val="001E086E"/>
    <w:rsid w:val="001E08AE"/>
    <w:rsid w:val="001E174B"/>
    <w:rsid w:val="001E226F"/>
    <w:rsid w:val="001E2366"/>
    <w:rsid w:val="001E24A9"/>
    <w:rsid w:val="001E2502"/>
    <w:rsid w:val="001E292F"/>
    <w:rsid w:val="001E3202"/>
    <w:rsid w:val="001E38C5"/>
    <w:rsid w:val="001E3DD9"/>
    <w:rsid w:val="001E474D"/>
    <w:rsid w:val="001E47E9"/>
    <w:rsid w:val="001E4F0E"/>
    <w:rsid w:val="001E5210"/>
    <w:rsid w:val="001E53B7"/>
    <w:rsid w:val="001E5580"/>
    <w:rsid w:val="001E582A"/>
    <w:rsid w:val="001E5A81"/>
    <w:rsid w:val="001E5AFC"/>
    <w:rsid w:val="001E5EE8"/>
    <w:rsid w:val="001E6615"/>
    <w:rsid w:val="001E72B2"/>
    <w:rsid w:val="001E72E6"/>
    <w:rsid w:val="001F0169"/>
    <w:rsid w:val="001F0349"/>
    <w:rsid w:val="001F0B74"/>
    <w:rsid w:val="001F1A0D"/>
    <w:rsid w:val="001F1E59"/>
    <w:rsid w:val="001F20E8"/>
    <w:rsid w:val="001F2B19"/>
    <w:rsid w:val="001F2DD4"/>
    <w:rsid w:val="001F3AEE"/>
    <w:rsid w:val="001F3D85"/>
    <w:rsid w:val="001F40A5"/>
    <w:rsid w:val="001F41F6"/>
    <w:rsid w:val="001F434C"/>
    <w:rsid w:val="001F4EB8"/>
    <w:rsid w:val="001F5399"/>
    <w:rsid w:val="001F56BD"/>
    <w:rsid w:val="001F596D"/>
    <w:rsid w:val="001F6572"/>
    <w:rsid w:val="001F6F6A"/>
    <w:rsid w:val="001F6FAC"/>
    <w:rsid w:val="001F7595"/>
    <w:rsid w:val="002008FA"/>
    <w:rsid w:val="00200A7A"/>
    <w:rsid w:val="00200B34"/>
    <w:rsid w:val="00200B4C"/>
    <w:rsid w:val="002019F2"/>
    <w:rsid w:val="00201C2A"/>
    <w:rsid w:val="00201CDA"/>
    <w:rsid w:val="002021A8"/>
    <w:rsid w:val="00202326"/>
    <w:rsid w:val="00202865"/>
    <w:rsid w:val="00202E03"/>
    <w:rsid w:val="00203267"/>
    <w:rsid w:val="0020391D"/>
    <w:rsid w:val="00203C2E"/>
    <w:rsid w:val="002044BC"/>
    <w:rsid w:val="00204615"/>
    <w:rsid w:val="00204EFE"/>
    <w:rsid w:val="00205010"/>
    <w:rsid w:val="002053AE"/>
    <w:rsid w:val="00205F9C"/>
    <w:rsid w:val="00207369"/>
    <w:rsid w:val="00207767"/>
    <w:rsid w:val="0020784C"/>
    <w:rsid w:val="00207BDB"/>
    <w:rsid w:val="00207C21"/>
    <w:rsid w:val="00210771"/>
    <w:rsid w:val="00211885"/>
    <w:rsid w:val="00211AB7"/>
    <w:rsid w:val="00211C59"/>
    <w:rsid w:val="00214143"/>
    <w:rsid w:val="00214211"/>
    <w:rsid w:val="0021428F"/>
    <w:rsid w:val="00214715"/>
    <w:rsid w:val="00215229"/>
    <w:rsid w:val="00215699"/>
    <w:rsid w:val="002159DE"/>
    <w:rsid w:val="00215ADD"/>
    <w:rsid w:val="00215CE6"/>
    <w:rsid w:val="00215E99"/>
    <w:rsid w:val="002166A6"/>
    <w:rsid w:val="00216A61"/>
    <w:rsid w:val="00216BB6"/>
    <w:rsid w:val="00216C30"/>
    <w:rsid w:val="00217650"/>
    <w:rsid w:val="00217B45"/>
    <w:rsid w:val="0022048B"/>
    <w:rsid w:val="00220692"/>
    <w:rsid w:val="0022182A"/>
    <w:rsid w:val="00221C86"/>
    <w:rsid w:val="00222103"/>
    <w:rsid w:val="00222261"/>
    <w:rsid w:val="00222616"/>
    <w:rsid w:val="002236C9"/>
    <w:rsid w:val="002237D3"/>
    <w:rsid w:val="00223B07"/>
    <w:rsid w:val="00223C82"/>
    <w:rsid w:val="0022436A"/>
    <w:rsid w:val="00224E52"/>
    <w:rsid w:val="0022521F"/>
    <w:rsid w:val="00225736"/>
    <w:rsid w:val="0022590D"/>
    <w:rsid w:val="00225E64"/>
    <w:rsid w:val="002260CB"/>
    <w:rsid w:val="002267CE"/>
    <w:rsid w:val="00227488"/>
    <w:rsid w:val="002278B8"/>
    <w:rsid w:val="00227D49"/>
    <w:rsid w:val="00227FC7"/>
    <w:rsid w:val="00230422"/>
    <w:rsid w:val="00230479"/>
    <w:rsid w:val="00231431"/>
    <w:rsid w:val="00231740"/>
    <w:rsid w:val="002319E6"/>
    <w:rsid w:val="0023222B"/>
    <w:rsid w:val="0023244F"/>
    <w:rsid w:val="002325A8"/>
    <w:rsid w:val="00232B18"/>
    <w:rsid w:val="00232E43"/>
    <w:rsid w:val="00232EED"/>
    <w:rsid w:val="00233C2A"/>
    <w:rsid w:val="002341F6"/>
    <w:rsid w:val="0023440D"/>
    <w:rsid w:val="002347B1"/>
    <w:rsid w:val="00234A18"/>
    <w:rsid w:val="00234DDE"/>
    <w:rsid w:val="002351B7"/>
    <w:rsid w:val="00235307"/>
    <w:rsid w:val="00235A21"/>
    <w:rsid w:val="00235D25"/>
    <w:rsid w:val="00235E13"/>
    <w:rsid w:val="00236A66"/>
    <w:rsid w:val="00236E72"/>
    <w:rsid w:val="00236F13"/>
    <w:rsid w:val="0023706D"/>
    <w:rsid w:val="002372F4"/>
    <w:rsid w:val="0024029A"/>
    <w:rsid w:val="002407C8"/>
    <w:rsid w:val="00240EC2"/>
    <w:rsid w:val="0024177D"/>
    <w:rsid w:val="002417F8"/>
    <w:rsid w:val="00241FC8"/>
    <w:rsid w:val="00242200"/>
    <w:rsid w:val="00242328"/>
    <w:rsid w:val="00242CBE"/>
    <w:rsid w:val="002440FD"/>
    <w:rsid w:val="0024472B"/>
    <w:rsid w:val="002458CC"/>
    <w:rsid w:val="00245C4C"/>
    <w:rsid w:val="00246221"/>
    <w:rsid w:val="00246447"/>
    <w:rsid w:val="00246CCD"/>
    <w:rsid w:val="002471BC"/>
    <w:rsid w:val="00247870"/>
    <w:rsid w:val="002478E5"/>
    <w:rsid w:val="00247AF9"/>
    <w:rsid w:val="0025073C"/>
    <w:rsid w:val="00250C89"/>
    <w:rsid w:val="00250F42"/>
    <w:rsid w:val="00250FD2"/>
    <w:rsid w:val="00251A8F"/>
    <w:rsid w:val="00252702"/>
    <w:rsid w:val="00253EA0"/>
    <w:rsid w:val="00254B44"/>
    <w:rsid w:val="00254E99"/>
    <w:rsid w:val="00255BAF"/>
    <w:rsid w:val="00256999"/>
    <w:rsid w:val="0025753B"/>
    <w:rsid w:val="00257AAE"/>
    <w:rsid w:val="0026027A"/>
    <w:rsid w:val="00260423"/>
    <w:rsid w:val="00260533"/>
    <w:rsid w:val="002606FF"/>
    <w:rsid w:val="00260A23"/>
    <w:rsid w:val="00260ED8"/>
    <w:rsid w:val="00261513"/>
    <w:rsid w:val="002615F8"/>
    <w:rsid w:val="002616E6"/>
    <w:rsid w:val="00261A54"/>
    <w:rsid w:val="00261D37"/>
    <w:rsid w:val="00261E00"/>
    <w:rsid w:val="00263081"/>
    <w:rsid w:val="00263607"/>
    <w:rsid w:val="00263874"/>
    <w:rsid w:val="00263D34"/>
    <w:rsid w:val="00263EF1"/>
    <w:rsid w:val="00264059"/>
    <w:rsid w:val="0026411A"/>
    <w:rsid w:val="00264FC8"/>
    <w:rsid w:val="002654E8"/>
    <w:rsid w:val="002656E1"/>
    <w:rsid w:val="00265728"/>
    <w:rsid w:val="00265CFF"/>
    <w:rsid w:val="00266406"/>
    <w:rsid w:val="00267334"/>
    <w:rsid w:val="002674E3"/>
    <w:rsid w:val="00267755"/>
    <w:rsid w:val="002705FE"/>
    <w:rsid w:val="002706F0"/>
    <w:rsid w:val="002713DB"/>
    <w:rsid w:val="002715AC"/>
    <w:rsid w:val="00272219"/>
    <w:rsid w:val="00272D7E"/>
    <w:rsid w:val="00273278"/>
    <w:rsid w:val="00273AFD"/>
    <w:rsid w:val="002741A0"/>
    <w:rsid w:val="002746D8"/>
    <w:rsid w:val="00275343"/>
    <w:rsid w:val="00275608"/>
    <w:rsid w:val="00275641"/>
    <w:rsid w:val="00276AE0"/>
    <w:rsid w:val="00276D6A"/>
    <w:rsid w:val="0027753A"/>
    <w:rsid w:val="00277E64"/>
    <w:rsid w:val="00280042"/>
    <w:rsid w:val="00280AB5"/>
    <w:rsid w:val="00280B32"/>
    <w:rsid w:val="0028218E"/>
    <w:rsid w:val="002821E9"/>
    <w:rsid w:val="002823AE"/>
    <w:rsid w:val="00282613"/>
    <w:rsid w:val="00282A2B"/>
    <w:rsid w:val="0028318B"/>
    <w:rsid w:val="00283C90"/>
    <w:rsid w:val="00283FE7"/>
    <w:rsid w:val="00284346"/>
    <w:rsid w:val="00284387"/>
    <w:rsid w:val="00285523"/>
    <w:rsid w:val="0028553F"/>
    <w:rsid w:val="002857C6"/>
    <w:rsid w:val="0028608C"/>
    <w:rsid w:val="002868A6"/>
    <w:rsid w:val="002868BE"/>
    <w:rsid w:val="0028710F"/>
    <w:rsid w:val="002872C3"/>
    <w:rsid w:val="0028796D"/>
    <w:rsid w:val="002903E2"/>
    <w:rsid w:val="0029077C"/>
    <w:rsid w:val="002908A7"/>
    <w:rsid w:val="002913FD"/>
    <w:rsid w:val="00291826"/>
    <w:rsid w:val="00291D71"/>
    <w:rsid w:val="00292115"/>
    <w:rsid w:val="00292F66"/>
    <w:rsid w:val="0029315D"/>
    <w:rsid w:val="00293534"/>
    <w:rsid w:val="00293777"/>
    <w:rsid w:val="00293B16"/>
    <w:rsid w:val="0029421A"/>
    <w:rsid w:val="0029449E"/>
    <w:rsid w:val="00294C8B"/>
    <w:rsid w:val="0029504D"/>
    <w:rsid w:val="0029570C"/>
    <w:rsid w:val="002966DE"/>
    <w:rsid w:val="00296F46"/>
    <w:rsid w:val="00296F84"/>
    <w:rsid w:val="00296F8A"/>
    <w:rsid w:val="002A13CA"/>
    <w:rsid w:val="002A1695"/>
    <w:rsid w:val="002A180F"/>
    <w:rsid w:val="002A1873"/>
    <w:rsid w:val="002A1AE1"/>
    <w:rsid w:val="002A2857"/>
    <w:rsid w:val="002A2D7B"/>
    <w:rsid w:val="002A367A"/>
    <w:rsid w:val="002A36DF"/>
    <w:rsid w:val="002A3B40"/>
    <w:rsid w:val="002A40BC"/>
    <w:rsid w:val="002A4404"/>
    <w:rsid w:val="002A4ACC"/>
    <w:rsid w:val="002A51E9"/>
    <w:rsid w:val="002A52E3"/>
    <w:rsid w:val="002A5425"/>
    <w:rsid w:val="002A547D"/>
    <w:rsid w:val="002A556E"/>
    <w:rsid w:val="002A5B44"/>
    <w:rsid w:val="002A5CA0"/>
    <w:rsid w:val="002A5DA4"/>
    <w:rsid w:val="002A6022"/>
    <w:rsid w:val="002A63AF"/>
    <w:rsid w:val="002A6AD1"/>
    <w:rsid w:val="002A6FBE"/>
    <w:rsid w:val="002A70E7"/>
    <w:rsid w:val="002A7869"/>
    <w:rsid w:val="002A7BB5"/>
    <w:rsid w:val="002A7F5B"/>
    <w:rsid w:val="002B0D78"/>
    <w:rsid w:val="002B0F46"/>
    <w:rsid w:val="002B0FBD"/>
    <w:rsid w:val="002B1202"/>
    <w:rsid w:val="002B1821"/>
    <w:rsid w:val="002B2078"/>
    <w:rsid w:val="002B22D4"/>
    <w:rsid w:val="002B232E"/>
    <w:rsid w:val="002B2334"/>
    <w:rsid w:val="002B291F"/>
    <w:rsid w:val="002B2E6C"/>
    <w:rsid w:val="002B3178"/>
    <w:rsid w:val="002B3C14"/>
    <w:rsid w:val="002B3C46"/>
    <w:rsid w:val="002B3F66"/>
    <w:rsid w:val="002B3FD0"/>
    <w:rsid w:val="002B43FA"/>
    <w:rsid w:val="002B5C84"/>
    <w:rsid w:val="002B6421"/>
    <w:rsid w:val="002B6B22"/>
    <w:rsid w:val="002B7969"/>
    <w:rsid w:val="002C06D1"/>
    <w:rsid w:val="002C12CD"/>
    <w:rsid w:val="002C1A12"/>
    <w:rsid w:val="002C2417"/>
    <w:rsid w:val="002C2DB8"/>
    <w:rsid w:val="002C3051"/>
    <w:rsid w:val="002C3066"/>
    <w:rsid w:val="002C4063"/>
    <w:rsid w:val="002C41DC"/>
    <w:rsid w:val="002C423C"/>
    <w:rsid w:val="002C4822"/>
    <w:rsid w:val="002C4EB6"/>
    <w:rsid w:val="002C5A63"/>
    <w:rsid w:val="002C63F6"/>
    <w:rsid w:val="002C7445"/>
    <w:rsid w:val="002C754B"/>
    <w:rsid w:val="002C75AC"/>
    <w:rsid w:val="002C762E"/>
    <w:rsid w:val="002C79D7"/>
    <w:rsid w:val="002D0356"/>
    <w:rsid w:val="002D06E7"/>
    <w:rsid w:val="002D07C0"/>
    <w:rsid w:val="002D0904"/>
    <w:rsid w:val="002D0905"/>
    <w:rsid w:val="002D0919"/>
    <w:rsid w:val="002D0C19"/>
    <w:rsid w:val="002D0FC6"/>
    <w:rsid w:val="002D1101"/>
    <w:rsid w:val="002D138C"/>
    <w:rsid w:val="002D14B7"/>
    <w:rsid w:val="002D18BC"/>
    <w:rsid w:val="002D192F"/>
    <w:rsid w:val="002D1A3D"/>
    <w:rsid w:val="002D2441"/>
    <w:rsid w:val="002D3A8A"/>
    <w:rsid w:val="002D3B3F"/>
    <w:rsid w:val="002D3CC7"/>
    <w:rsid w:val="002D3EC8"/>
    <w:rsid w:val="002D4325"/>
    <w:rsid w:val="002D45BF"/>
    <w:rsid w:val="002D4A85"/>
    <w:rsid w:val="002D4FEB"/>
    <w:rsid w:val="002D5DC4"/>
    <w:rsid w:val="002D64DF"/>
    <w:rsid w:val="002D71F8"/>
    <w:rsid w:val="002D74DA"/>
    <w:rsid w:val="002D7674"/>
    <w:rsid w:val="002D7A6A"/>
    <w:rsid w:val="002D7BC0"/>
    <w:rsid w:val="002E000C"/>
    <w:rsid w:val="002E0376"/>
    <w:rsid w:val="002E0BB3"/>
    <w:rsid w:val="002E1280"/>
    <w:rsid w:val="002E13E0"/>
    <w:rsid w:val="002E1950"/>
    <w:rsid w:val="002E20A0"/>
    <w:rsid w:val="002E22A2"/>
    <w:rsid w:val="002E2864"/>
    <w:rsid w:val="002E2900"/>
    <w:rsid w:val="002E2D4A"/>
    <w:rsid w:val="002E2F6A"/>
    <w:rsid w:val="002E38DB"/>
    <w:rsid w:val="002E3D09"/>
    <w:rsid w:val="002E3D8D"/>
    <w:rsid w:val="002E4095"/>
    <w:rsid w:val="002E4F35"/>
    <w:rsid w:val="002E5256"/>
    <w:rsid w:val="002E5271"/>
    <w:rsid w:val="002E538F"/>
    <w:rsid w:val="002E539A"/>
    <w:rsid w:val="002E55DD"/>
    <w:rsid w:val="002E5995"/>
    <w:rsid w:val="002E5E77"/>
    <w:rsid w:val="002E5F31"/>
    <w:rsid w:val="002E686B"/>
    <w:rsid w:val="002E748D"/>
    <w:rsid w:val="002E7B71"/>
    <w:rsid w:val="002E7C98"/>
    <w:rsid w:val="002E7EA2"/>
    <w:rsid w:val="002F0F75"/>
    <w:rsid w:val="002F0FA6"/>
    <w:rsid w:val="002F117A"/>
    <w:rsid w:val="002F127D"/>
    <w:rsid w:val="002F12EB"/>
    <w:rsid w:val="002F14F5"/>
    <w:rsid w:val="002F1528"/>
    <w:rsid w:val="002F214C"/>
    <w:rsid w:val="002F2B7A"/>
    <w:rsid w:val="002F2F6C"/>
    <w:rsid w:val="002F2FF4"/>
    <w:rsid w:val="002F3102"/>
    <w:rsid w:val="002F3105"/>
    <w:rsid w:val="002F3388"/>
    <w:rsid w:val="002F37D0"/>
    <w:rsid w:val="002F4604"/>
    <w:rsid w:val="002F4675"/>
    <w:rsid w:val="002F485F"/>
    <w:rsid w:val="002F493D"/>
    <w:rsid w:val="002F49C5"/>
    <w:rsid w:val="002F54F6"/>
    <w:rsid w:val="002F554B"/>
    <w:rsid w:val="002F5836"/>
    <w:rsid w:val="002F5892"/>
    <w:rsid w:val="002F5EB8"/>
    <w:rsid w:val="002F6071"/>
    <w:rsid w:val="002F6F94"/>
    <w:rsid w:val="002F72FF"/>
    <w:rsid w:val="002F750F"/>
    <w:rsid w:val="002F79CC"/>
    <w:rsid w:val="002F7BE7"/>
    <w:rsid w:val="002F7C59"/>
    <w:rsid w:val="002F7F8F"/>
    <w:rsid w:val="0030000F"/>
    <w:rsid w:val="00300149"/>
    <w:rsid w:val="00300264"/>
    <w:rsid w:val="003014B1"/>
    <w:rsid w:val="003019D9"/>
    <w:rsid w:val="0030242B"/>
    <w:rsid w:val="00302595"/>
    <w:rsid w:val="00302850"/>
    <w:rsid w:val="00303041"/>
    <w:rsid w:val="003030F5"/>
    <w:rsid w:val="0030349E"/>
    <w:rsid w:val="003036F3"/>
    <w:rsid w:val="0030421A"/>
    <w:rsid w:val="0030463E"/>
    <w:rsid w:val="00304AB6"/>
    <w:rsid w:val="00304ED6"/>
    <w:rsid w:val="003064BF"/>
    <w:rsid w:val="00306521"/>
    <w:rsid w:val="00307223"/>
    <w:rsid w:val="00307B47"/>
    <w:rsid w:val="00307CCA"/>
    <w:rsid w:val="0031034B"/>
    <w:rsid w:val="003107C6"/>
    <w:rsid w:val="00310825"/>
    <w:rsid w:val="0031239E"/>
    <w:rsid w:val="003123BD"/>
    <w:rsid w:val="00312AB8"/>
    <w:rsid w:val="00312FB7"/>
    <w:rsid w:val="00313100"/>
    <w:rsid w:val="00313197"/>
    <w:rsid w:val="0031398C"/>
    <w:rsid w:val="00313B82"/>
    <w:rsid w:val="00313D9B"/>
    <w:rsid w:val="00313F79"/>
    <w:rsid w:val="003142D0"/>
    <w:rsid w:val="00314A3B"/>
    <w:rsid w:val="00315212"/>
    <w:rsid w:val="00315A06"/>
    <w:rsid w:val="00315CD2"/>
    <w:rsid w:val="00316600"/>
    <w:rsid w:val="003166C1"/>
    <w:rsid w:val="00316A8B"/>
    <w:rsid w:val="00316BF6"/>
    <w:rsid w:val="0031733B"/>
    <w:rsid w:val="0031751A"/>
    <w:rsid w:val="00317E87"/>
    <w:rsid w:val="0032081F"/>
    <w:rsid w:val="003212EB"/>
    <w:rsid w:val="00322121"/>
    <w:rsid w:val="003221EB"/>
    <w:rsid w:val="00322425"/>
    <w:rsid w:val="003225FB"/>
    <w:rsid w:val="003232FE"/>
    <w:rsid w:val="003235CB"/>
    <w:rsid w:val="00323759"/>
    <w:rsid w:val="00323A7C"/>
    <w:rsid w:val="00323C32"/>
    <w:rsid w:val="00323ECF"/>
    <w:rsid w:val="00323FC7"/>
    <w:rsid w:val="00324A1D"/>
    <w:rsid w:val="00325742"/>
    <w:rsid w:val="00325B63"/>
    <w:rsid w:val="00326196"/>
    <w:rsid w:val="00326240"/>
    <w:rsid w:val="00326C33"/>
    <w:rsid w:val="003277FF"/>
    <w:rsid w:val="003278A1"/>
    <w:rsid w:val="00327909"/>
    <w:rsid w:val="00327AB3"/>
    <w:rsid w:val="00327D16"/>
    <w:rsid w:val="00330D77"/>
    <w:rsid w:val="00330FEB"/>
    <w:rsid w:val="00331120"/>
    <w:rsid w:val="00331E0F"/>
    <w:rsid w:val="00331E9D"/>
    <w:rsid w:val="003327DF"/>
    <w:rsid w:val="00332FCC"/>
    <w:rsid w:val="0033371C"/>
    <w:rsid w:val="0033439F"/>
    <w:rsid w:val="0033446E"/>
    <w:rsid w:val="003369FF"/>
    <w:rsid w:val="00336A50"/>
    <w:rsid w:val="00336AEA"/>
    <w:rsid w:val="00336B35"/>
    <w:rsid w:val="0033758C"/>
    <w:rsid w:val="0033764B"/>
    <w:rsid w:val="00340778"/>
    <w:rsid w:val="00340B2C"/>
    <w:rsid w:val="00340B44"/>
    <w:rsid w:val="0034138D"/>
    <w:rsid w:val="003416BE"/>
    <w:rsid w:val="0034170C"/>
    <w:rsid w:val="00341CED"/>
    <w:rsid w:val="00342759"/>
    <w:rsid w:val="00342DC1"/>
    <w:rsid w:val="00343525"/>
    <w:rsid w:val="00343A57"/>
    <w:rsid w:val="00343BDF"/>
    <w:rsid w:val="00343F41"/>
    <w:rsid w:val="0034459F"/>
    <w:rsid w:val="00344FD2"/>
    <w:rsid w:val="00345300"/>
    <w:rsid w:val="00345424"/>
    <w:rsid w:val="003459F3"/>
    <w:rsid w:val="00345EA7"/>
    <w:rsid w:val="003461F1"/>
    <w:rsid w:val="0034652C"/>
    <w:rsid w:val="0034681A"/>
    <w:rsid w:val="00347222"/>
    <w:rsid w:val="003472BD"/>
    <w:rsid w:val="0034765D"/>
    <w:rsid w:val="00347CFD"/>
    <w:rsid w:val="00347D0E"/>
    <w:rsid w:val="00347F10"/>
    <w:rsid w:val="0035067B"/>
    <w:rsid w:val="00350E0D"/>
    <w:rsid w:val="003512FF"/>
    <w:rsid w:val="00351FA1"/>
    <w:rsid w:val="00351FB4"/>
    <w:rsid w:val="003524FB"/>
    <w:rsid w:val="00352B65"/>
    <w:rsid w:val="003530E5"/>
    <w:rsid w:val="0035373E"/>
    <w:rsid w:val="00353878"/>
    <w:rsid w:val="00353A00"/>
    <w:rsid w:val="003545C1"/>
    <w:rsid w:val="00354A1F"/>
    <w:rsid w:val="00355060"/>
    <w:rsid w:val="00355567"/>
    <w:rsid w:val="00355B11"/>
    <w:rsid w:val="00355C02"/>
    <w:rsid w:val="00355F4E"/>
    <w:rsid w:val="00356117"/>
    <w:rsid w:val="003562B1"/>
    <w:rsid w:val="00356A2B"/>
    <w:rsid w:val="00357DFD"/>
    <w:rsid w:val="00357E85"/>
    <w:rsid w:val="00360494"/>
    <w:rsid w:val="00360745"/>
    <w:rsid w:val="00360AE4"/>
    <w:rsid w:val="003626C0"/>
    <w:rsid w:val="003629AC"/>
    <w:rsid w:val="00362C5E"/>
    <w:rsid w:val="00362E6F"/>
    <w:rsid w:val="00362FA9"/>
    <w:rsid w:val="00363417"/>
    <w:rsid w:val="003635F2"/>
    <w:rsid w:val="003639E5"/>
    <w:rsid w:val="00363D7A"/>
    <w:rsid w:val="0036404A"/>
    <w:rsid w:val="003640A7"/>
    <w:rsid w:val="00364EA5"/>
    <w:rsid w:val="0036508D"/>
    <w:rsid w:val="003650E8"/>
    <w:rsid w:val="003651C8"/>
    <w:rsid w:val="003652EA"/>
    <w:rsid w:val="00365B48"/>
    <w:rsid w:val="00366CAC"/>
    <w:rsid w:val="00367440"/>
    <w:rsid w:val="00367894"/>
    <w:rsid w:val="003679BA"/>
    <w:rsid w:val="003700A3"/>
    <w:rsid w:val="00370217"/>
    <w:rsid w:val="003708BE"/>
    <w:rsid w:val="00370B40"/>
    <w:rsid w:val="00371690"/>
    <w:rsid w:val="0037240A"/>
    <w:rsid w:val="00373411"/>
    <w:rsid w:val="00373D40"/>
    <w:rsid w:val="00374251"/>
    <w:rsid w:val="003744B3"/>
    <w:rsid w:val="00374D41"/>
    <w:rsid w:val="00374E2C"/>
    <w:rsid w:val="00375439"/>
    <w:rsid w:val="00376121"/>
    <w:rsid w:val="00376A7A"/>
    <w:rsid w:val="00376E2B"/>
    <w:rsid w:val="003770D6"/>
    <w:rsid w:val="003771F5"/>
    <w:rsid w:val="003774FC"/>
    <w:rsid w:val="00377540"/>
    <w:rsid w:val="00377BE4"/>
    <w:rsid w:val="00380094"/>
    <w:rsid w:val="003800F0"/>
    <w:rsid w:val="00380B3A"/>
    <w:rsid w:val="00382306"/>
    <w:rsid w:val="00382B86"/>
    <w:rsid w:val="00383071"/>
    <w:rsid w:val="003832EF"/>
    <w:rsid w:val="00383749"/>
    <w:rsid w:val="003837F4"/>
    <w:rsid w:val="003846D9"/>
    <w:rsid w:val="003847DC"/>
    <w:rsid w:val="0038564A"/>
    <w:rsid w:val="0038576C"/>
    <w:rsid w:val="00385800"/>
    <w:rsid w:val="00385F39"/>
    <w:rsid w:val="0038743E"/>
    <w:rsid w:val="003879DF"/>
    <w:rsid w:val="00387DFA"/>
    <w:rsid w:val="0039083F"/>
    <w:rsid w:val="00391374"/>
    <w:rsid w:val="003914D5"/>
    <w:rsid w:val="00391FAB"/>
    <w:rsid w:val="0039203E"/>
    <w:rsid w:val="00392050"/>
    <w:rsid w:val="003923B4"/>
    <w:rsid w:val="00392539"/>
    <w:rsid w:val="00392677"/>
    <w:rsid w:val="003936EA"/>
    <w:rsid w:val="00393913"/>
    <w:rsid w:val="00393987"/>
    <w:rsid w:val="00393AED"/>
    <w:rsid w:val="003940F7"/>
    <w:rsid w:val="00394981"/>
    <w:rsid w:val="003953A8"/>
    <w:rsid w:val="00395A26"/>
    <w:rsid w:val="00395FCB"/>
    <w:rsid w:val="00396130"/>
    <w:rsid w:val="00396766"/>
    <w:rsid w:val="003968D5"/>
    <w:rsid w:val="00396D6E"/>
    <w:rsid w:val="00396FF0"/>
    <w:rsid w:val="003977E4"/>
    <w:rsid w:val="0039788E"/>
    <w:rsid w:val="00397C74"/>
    <w:rsid w:val="00397E2E"/>
    <w:rsid w:val="00397F3C"/>
    <w:rsid w:val="003A0529"/>
    <w:rsid w:val="003A0962"/>
    <w:rsid w:val="003A2141"/>
    <w:rsid w:val="003A32D8"/>
    <w:rsid w:val="003A3551"/>
    <w:rsid w:val="003A35AE"/>
    <w:rsid w:val="003A37E9"/>
    <w:rsid w:val="003A38F0"/>
    <w:rsid w:val="003A42F3"/>
    <w:rsid w:val="003A443D"/>
    <w:rsid w:val="003A47E4"/>
    <w:rsid w:val="003A4932"/>
    <w:rsid w:val="003A4CED"/>
    <w:rsid w:val="003A6627"/>
    <w:rsid w:val="003A6A5A"/>
    <w:rsid w:val="003A7025"/>
    <w:rsid w:val="003A72E9"/>
    <w:rsid w:val="003A7E27"/>
    <w:rsid w:val="003B0173"/>
    <w:rsid w:val="003B0398"/>
    <w:rsid w:val="003B0DA5"/>
    <w:rsid w:val="003B2921"/>
    <w:rsid w:val="003B2E38"/>
    <w:rsid w:val="003B4A4A"/>
    <w:rsid w:val="003B5386"/>
    <w:rsid w:val="003B53A5"/>
    <w:rsid w:val="003B55CA"/>
    <w:rsid w:val="003B59EE"/>
    <w:rsid w:val="003B5B72"/>
    <w:rsid w:val="003B6D71"/>
    <w:rsid w:val="003B6EF2"/>
    <w:rsid w:val="003B7E7A"/>
    <w:rsid w:val="003C0463"/>
    <w:rsid w:val="003C0842"/>
    <w:rsid w:val="003C0905"/>
    <w:rsid w:val="003C0C4A"/>
    <w:rsid w:val="003C0F5F"/>
    <w:rsid w:val="003C1EAF"/>
    <w:rsid w:val="003C267B"/>
    <w:rsid w:val="003C346B"/>
    <w:rsid w:val="003C3731"/>
    <w:rsid w:val="003C3822"/>
    <w:rsid w:val="003C39C7"/>
    <w:rsid w:val="003C3C6D"/>
    <w:rsid w:val="003C40EE"/>
    <w:rsid w:val="003C4206"/>
    <w:rsid w:val="003C42F7"/>
    <w:rsid w:val="003C479F"/>
    <w:rsid w:val="003C4884"/>
    <w:rsid w:val="003C5092"/>
    <w:rsid w:val="003C5A73"/>
    <w:rsid w:val="003C5DEF"/>
    <w:rsid w:val="003C641E"/>
    <w:rsid w:val="003C687E"/>
    <w:rsid w:val="003C6C81"/>
    <w:rsid w:val="003C6CC1"/>
    <w:rsid w:val="003C6F33"/>
    <w:rsid w:val="003D047F"/>
    <w:rsid w:val="003D0576"/>
    <w:rsid w:val="003D0FBC"/>
    <w:rsid w:val="003D1197"/>
    <w:rsid w:val="003D1210"/>
    <w:rsid w:val="003D2333"/>
    <w:rsid w:val="003D2521"/>
    <w:rsid w:val="003D298F"/>
    <w:rsid w:val="003D2FBA"/>
    <w:rsid w:val="003D3161"/>
    <w:rsid w:val="003D3227"/>
    <w:rsid w:val="003D36B8"/>
    <w:rsid w:val="003D3A55"/>
    <w:rsid w:val="003D408F"/>
    <w:rsid w:val="003D4347"/>
    <w:rsid w:val="003D5413"/>
    <w:rsid w:val="003D54E0"/>
    <w:rsid w:val="003D5996"/>
    <w:rsid w:val="003D59E2"/>
    <w:rsid w:val="003D5BCA"/>
    <w:rsid w:val="003D5D5D"/>
    <w:rsid w:val="003D60A4"/>
    <w:rsid w:val="003D60B7"/>
    <w:rsid w:val="003D6407"/>
    <w:rsid w:val="003D647A"/>
    <w:rsid w:val="003D6B1D"/>
    <w:rsid w:val="003D6E30"/>
    <w:rsid w:val="003D70B5"/>
    <w:rsid w:val="003D7555"/>
    <w:rsid w:val="003D79C5"/>
    <w:rsid w:val="003D7B41"/>
    <w:rsid w:val="003D7B45"/>
    <w:rsid w:val="003E0015"/>
    <w:rsid w:val="003E03E3"/>
    <w:rsid w:val="003E05FE"/>
    <w:rsid w:val="003E0CD7"/>
    <w:rsid w:val="003E14F0"/>
    <w:rsid w:val="003E30D9"/>
    <w:rsid w:val="003E32D8"/>
    <w:rsid w:val="003E3E19"/>
    <w:rsid w:val="003E417D"/>
    <w:rsid w:val="003E427F"/>
    <w:rsid w:val="003E47DE"/>
    <w:rsid w:val="003E4CDE"/>
    <w:rsid w:val="003E4CFE"/>
    <w:rsid w:val="003E4F42"/>
    <w:rsid w:val="003E5075"/>
    <w:rsid w:val="003E5233"/>
    <w:rsid w:val="003E570A"/>
    <w:rsid w:val="003E5F95"/>
    <w:rsid w:val="003E6F0B"/>
    <w:rsid w:val="003F00D4"/>
    <w:rsid w:val="003F00DF"/>
    <w:rsid w:val="003F018C"/>
    <w:rsid w:val="003F09CB"/>
    <w:rsid w:val="003F10D3"/>
    <w:rsid w:val="003F1150"/>
    <w:rsid w:val="003F140D"/>
    <w:rsid w:val="003F143C"/>
    <w:rsid w:val="003F1548"/>
    <w:rsid w:val="003F176D"/>
    <w:rsid w:val="003F228F"/>
    <w:rsid w:val="003F22E0"/>
    <w:rsid w:val="003F274F"/>
    <w:rsid w:val="003F2B3D"/>
    <w:rsid w:val="003F3105"/>
    <w:rsid w:val="003F3328"/>
    <w:rsid w:val="003F3C34"/>
    <w:rsid w:val="003F3ED7"/>
    <w:rsid w:val="003F4172"/>
    <w:rsid w:val="003F4222"/>
    <w:rsid w:val="003F4249"/>
    <w:rsid w:val="003F4251"/>
    <w:rsid w:val="003F44CA"/>
    <w:rsid w:val="003F461D"/>
    <w:rsid w:val="003F4940"/>
    <w:rsid w:val="003F4C90"/>
    <w:rsid w:val="003F5071"/>
    <w:rsid w:val="003F5086"/>
    <w:rsid w:val="003F550A"/>
    <w:rsid w:val="003F6ECC"/>
    <w:rsid w:val="003F7EFA"/>
    <w:rsid w:val="0040013E"/>
    <w:rsid w:val="00400C90"/>
    <w:rsid w:val="004012F6"/>
    <w:rsid w:val="00401D27"/>
    <w:rsid w:val="00402D65"/>
    <w:rsid w:val="00402E02"/>
    <w:rsid w:val="00403364"/>
    <w:rsid w:val="00403971"/>
    <w:rsid w:val="0040415C"/>
    <w:rsid w:val="00404D74"/>
    <w:rsid w:val="00404E03"/>
    <w:rsid w:val="00405080"/>
    <w:rsid w:val="0040518A"/>
    <w:rsid w:val="00405693"/>
    <w:rsid w:val="004056F3"/>
    <w:rsid w:val="0040616D"/>
    <w:rsid w:val="00406215"/>
    <w:rsid w:val="00406B41"/>
    <w:rsid w:val="00406EF0"/>
    <w:rsid w:val="0040725A"/>
    <w:rsid w:val="00411BB1"/>
    <w:rsid w:val="004126A1"/>
    <w:rsid w:val="00412FA3"/>
    <w:rsid w:val="0041450E"/>
    <w:rsid w:val="004148E1"/>
    <w:rsid w:val="00414BCB"/>
    <w:rsid w:val="00414FE4"/>
    <w:rsid w:val="00415370"/>
    <w:rsid w:val="00415762"/>
    <w:rsid w:val="00415781"/>
    <w:rsid w:val="00415800"/>
    <w:rsid w:val="00415A0B"/>
    <w:rsid w:val="00415C60"/>
    <w:rsid w:val="00415CFE"/>
    <w:rsid w:val="00415F80"/>
    <w:rsid w:val="00416353"/>
    <w:rsid w:val="00416BB6"/>
    <w:rsid w:val="00416F40"/>
    <w:rsid w:val="00417769"/>
    <w:rsid w:val="00417819"/>
    <w:rsid w:val="00420819"/>
    <w:rsid w:val="004215BB"/>
    <w:rsid w:val="0042173F"/>
    <w:rsid w:val="0042192C"/>
    <w:rsid w:val="00421EF2"/>
    <w:rsid w:val="0042241E"/>
    <w:rsid w:val="00422668"/>
    <w:rsid w:val="00422EC3"/>
    <w:rsid w:val="004230B6"/>
    <w:rsid w:val="004235A9"/>
    <w:rsid w:val="004235EE"/>
    <w:rsid w:val="00423782"/>
    <w:rsid w:val="00423AE9"/>
    <w:rsid w:val="00423C30"/>
    <w:rsid w:val="00423D94"/>
    <w:rsid w:val="00424B17"/>
    <w:rsid w:val="00424CC9"/>
    <w:rsid w:val="00424E40"/>
    <w:rsid w:val="00424E61"/>
    <w:rsid w:val="004259E2"/>
    <w:rsid w:val="00425D35"/>
    <w:rsid w:val="00426176"/>
    <w:rsid w:val="004262D0"/>
    <w:rsid w:val="00426699"/>
    <w:rsid w:val="00426865"/>
    <w:rsid w:val="00426979"/>
    <w:rsid w:val="00426CA0"/>
    <w:rsid w:val="00427460"/>
    <w:rsid w:val="0042747D"/>
    <w:rsid w:val="004277E6"/>
    <w:rsid w:val="0043061B"/>
    <w:rsid w:val="00430622"/>
    <w:rsid w:val="004306B1"/>
    <w:rsid w:val="004311CE"/>
    <w:rsid w:val="0043166B"/>
    <w:rsid w:val="00431AC1"/>
    <w:rsid w:val="004322D7"/>
    <w:rsid w:val="00432468"/>
    <w:rsid w:val="00432796"/>
    <w:rsid w:val="00432989"/>
    <w:rsid w:val="004329C9"/>
    <w:rsid w:val="00432C23"/>
    <w:rsid w:val="00432CD5"/>
    <w:rsid w:val="00432D2B"/>
    <w:rsid w:val="00433AF2"/>
    <w:rsid w:val="00433C4C"/>
    <w:rsid w:val="00433CFE"/>
    <w:rsid w:val="00434280"/>
    <w:rsid w:val="00434450"/>
    <w:rsid w:val="00434AAB"/>
    <w:rsid w:val="00434F05"/>
    <w:rsid w:val="00435592"/>
    <w:rsid w:val="00435AC8"/>
    <w:rsid w:val="00435E27"/>
    <w:rsid w:val="00435F06"/>
    <w:rsid w:val="0043631C"/>
    <w:rsid w:val="004363FA"/>
    <w:rsid w:val="004364CC"/>
    <w:rsid w:val="00436B89"/>
    <w:rsid w:val="00437AC3"/>
    <w:rsid w:val="00437D2B"/>
    <w:rsid w:val="004405B0"/>
    <w:rsid w:val="00440CCD"/>
    <w:rsid w:val="00440D3E"/>
    <w:rsid w:val="004417BD"/>
    <w:rsid w:val="00441A35"/>
    <w:rsid w:val="00441FF9"/>
    <w:rsid w:val="00442A49"/>
    <w:rsid w:val="004431A8"/>
    <w:rsid w:val="004431D7"/>
    <w:rsid w:val="0044363A"/>
    <w:rsid w:val="004436E9"/>
    <w:rsid w:val="004437B2"/>
    <w:rsid w:val="0044382F"/>
    <w:rsid w:val="00443DE8"/>
    <w:rsid w:val="0044408A"/>
    <w:rsid w:val="004442EB"/>
    <w:rsid w:val="004443A5"/>
    <w:rsid w:val="004448C6"/>
    <w:rsid w:val="00444C64"/>
    <w:rsid w:val="0044507C"/>
    <w:rsid w:val="00445DF5"/>
    <w:rsid w:val="00450EB4"/>
    <w:rsid w:val="004510A4"/>
    <w:rsid w:val="004510D8"/>
    <w:rsid w:val="0045135E"/>
    <w:rsid w:val="0045137F"/>
    <w:rsid w:val="00451544"/>
    <w:rsid w:val="00452683"/>
    <w:rsid w:val="004535B0"/>
    <w:rsid w:val="00453A9A"/>
    <w:rsid w:val="00453E31"/>
    <w:rsid w:val="00454597"/>
    <w:rsid w:val="004548E6"/>
    <w:rsid w:val="0045493D"/>
    <w:rsid w:val="004552F4"/>
    <w:rsid w:val="0045541F"/>
    <w:rsid w:val="0045543A"/>
    <w:rsid w:val="0045561A"/>
    <w:rsid w:val="004556D9"/>
    <w:rsid w:val="004561F9"/>
    <w:rsid w:val="0045637C"/>
    <w:rsid w:val="004566F5"/>
    <w:rsid w:val="0045695D"/>
    <w:rsid w:val="00457E92"/>
    <w:rsid w:val="00460096"/>
    <w:rsid w:val="004610C6"/>
    <w:rsid w:val="00461BF2"/>
    <w:rsid w:val="00463416"/>
    <w:rsid w:val="00463869"/>
    <w:rsid w:val="00463CF9"/>
    <w:rsid w:val="00463EAF"/>
    <w:rsid w:val="00464A9C"/>
    <w:rsid w:val="00464E8F"/>
    <w:rsid w:val="00464F23"/>
    <w:rsid w:val="004657B3"/>
    <w:rsid w:val="004660F5"/>
    <w:rsid w:val="00466830"/>
    <w:rsid w:val="00466C93"/>
    <w:rsid w:val="00467567"/>
    <w:rsid w:val="00467BC2"/>
    <w:rsid w:val="00467C44"/>
    <w:rsid w:val="00467CFB"/>
    <w:rsid w:val="00470418"/>
    <w:rsid w:val="004705F7"/>
    <w:rsid w:val="0047068C"/>
    <w:rsid w:val="00471E81"/>
    <w:rsid w:val="004724AF"/>
    <w:rsid w:val="004724E2"/>
    <w:rsid w:val="004727C4"/>
    <w:rsid w:val="004727E8"/>
    <w:rsid w:val="00472FFE"/>
    <w:rsid w:val="0047322A"/>
    <w:rsid w:val="00473357"/>
    <w:rsid w:val="00473379"/>
    <w:rsid w:val="0047352D"/>
    <w:rsid w:val="004743CB"/>
    <w:rsid w:val="00474B50"/>
    <w:rsid w:val="00474FDB"/>
    <w:rsid w:val="00475FA8"/>
    <w:rsid w:val="0047652F"/>
    <w:rsid w:val="00476FE9"/>
    <w:rsid w:val="00477BD1"/>
    <w:rsid w:val="00477F96"/>
    <w:rsid w:val="00477FAF"/>
    <w:rsid w:val="0048027B"/>
    <w:rsid w:val="004807AC"/>
    <w:rsid w:val="00481272"/>
    <w:rsid w:val="00481638"/>
    <w:rsid w:val="004817B5"/>
    <w:rsid w:val="00481E94"/>
    <w:rsid w:val="00482199"/>
    <w:rsid w:val="0048231B"/>
    <w:rsid w:val="00482478"/>
    <w:rsid w:val="004826FF"/>
    <w:rsid w:val="00482CCF"/>
    <w:rsid w:val="004830D2"/>
    <w:rsid w:val="00483131"/>
    <w:rsid w:val="00483170"/>
    <w:rsid w:val="0048383D"/>
    <w:rsid w:val="004851E8"/>
    <w:rsid w:val="00485580"/>
    <w:rsid w:val="00485811"/>
    <w:rsid w:val="00485E3C"/>
    <w:rsid w:val="00485F89"/>
    <w:rsid w:val="00486A68"/>
    <w:rsid w:val="00486B09"/>
    <w:rsid w:val="00487CFA"/>
    <w:rsid w:val="004901CA"/>
    <w:rsid w:val="00490A10"/>
    <w:rsid w:val="00490A62"/>
    <w:rsid w:val="00490E9E"/>
    <w:rsid w:val="00491F9F"/>
    <w:rsid w:val="004920D9"/>
    <w:rsid w:val="0049242A"/>
    <w:rsid w:val="00492735"/>
    <w:rsid w:val="00492B25"/>
    <w:rsid w:val="00492EC7"/>
    <w:rsid w:val="004930B8"/>
    <w:rsid w:val="00493C96"/>
    <w:rsid w:val="00494932"/>
    <w:rsid w:val="00494FC9"/>
    <w:rsid w:val="00494FF0"/>
    <w:rsid w:val="004950F8"/>
    <w:rsid w:val="00495192"/>
    <w:rsid w:val="00495211"/>
    <w:rsid w:val="004956F2"/>
    <w:rsid w:val="00495B23"/>
    <w:rsid w:val="00496AD4"/>
    <w:rsid w:val="004970B6"/>
    <w:rsid w:val="00497B89"/>
    <w:rsid w:val="004A0324"/>
    <w:rsid w:val="004A034D"/>
    <w:rsid w:val="004A0C25"/>
    <w:rsid w:val="004A0E76"/>
    <w:rsid w:val="004A1222"/>
    <w:rsid w:val="004A15F4"/>
    <w:rsid w:val="004A1EA2"/>
    <w:rsid w:val="004A201B"/>
    <w:rsid w:val="004A27B0"/>
    <w:rsid w:val="004A2B6F"/>
    <w:rsid w:val="004A3807"/>
    <w:rsid w:val="004A3BB0"/>
    <w:rsid w:val="004A4377"/>
    <w:rsid w:val="004A4D2B"/>
    <w:rsid w:val="004A525D"/>
    <w:rsid w:val="004A52C4"/>
    <w:rsid w:val="004A57EB"/>
    <w:rsid w:val="004A5824"/>
    <w:rsid w:val="004A58D8"/>
    <w:rsid w:val="004A6211"/>
    <w:rsid w:val="004B0095"/>
    <w:rsid w:val="004B05E1"/>
    <w:rsid w:val="004B181D"/>
    <w:rsid w:val="004B1CAB"/>
    <w:rsid w:val="004B36ED"/>
    <w:rsid w:val="004B3956"/>
    <w:rsid w:val="004B398F"/>
    <w:rsid w:val="004B3A1F"/>
    <w:rsid w:val="004B3D44"/>
    <w:rsid w:val="004B3FD4"/>
    <w:rsid w:val="004B41B5"/>
    <w:rsid w:val="004B4812"/>
    <w:rsid w:val="004B493D"/>
    <w:rsid w:val="004B50AB"/>
    <w:rsid w:val="004B57A6"/>
    <w:rsid w:val="004B612E"/>
    <w:rsid w:val="004B623B"/>
    <w:rsid w:val="004B63F2"/>
    <w:rsid w:val="004B676E"/>
    <w:rsid w:val="004B677A"/>
    <w:rsid w:val="004C04A8"/>
    <w:rsid w:val="004C1315"/>
    <w:rsid w:val="004C1BAB"/>
    <w:rsid w:val="004C2155"/>
    <w:rsid w:val="004C21B7"/>
    <w:rsid w:val="004C2939"/>
    <w:rsid w:val="004C2A81"/>
    <w:rsid w:val="004C2E96"/>
    <w:rsid w:val="004C3D69"/>
    <w:rsid w:val="004C3E02"/>
    <w:rsid w:val="004C3EE4"/>
    <w:rsid w:val="004C4010"/>
    <w:rsid w:val="004C422D"/>
    <w:rsid w:val="004C4CEB"/>
    <w:rsid w:val="004C5853"/>
    <w:rsid w:val="004C5CF1"/>
    <w:rsid w:val="004C66A9"/>
    <w:rsid w:val="004C6D8E"/>
    <w:rsid w:val="004C7A27"/>
    <w:rsid w:val="004C7CAC"/>
    <w:rsid w:val="004C7CE4"/>
    <w:rsid w:val="004D000F"/>
    <w:rsid w:val="004D0551"/>
    <w:rsid w:val="004D0C22"/>
    <w:rsid w:val="004D0D3E"/>
    <w:rsid w:val="004D0FF9"/>
    <w:rsid w:val="004D28EF"/>
    <w:rsid w:val="004D2A4E"/>
    <w:rsid w:val="004D3733"/>
    <w:rsid w:val="004D3E79"/>
    <w:rsid w:val="004D3EA7"/>
    <w:rsid w:val="004D3EC0"/>
    <w:rsid w:val="004D4AE0"/>
    <w:rsid w:val="004D4D01"/>
    <w:rsid w:val="004D5A88"/>
    <w:rsid w:val="004D69A2"/>
    <w:rsid w:val="004D6D16"/>
    <w:rsid w:val="004D6D2E"/>
    <w:rsid w:val="004D75E2"/>
    <w:rsid w:val="004D7BF4"/>
    <w:rsid w:val="004D7C92"/>
    <w:rsid w:val="004E0471"/>
    <w:rsid w:val="004E0A57"/>
    <w:rsid w:val="004E0E95"/>
    <w:rsid w:val="004E0FDE"/>
    <w:rsid w:val="004E15EF"/>
    <w:rsid w:val="004E19BA"/>
    <w:rsid w:val="004E1AF8"/>
    <w:rsid w:val="004E23D0"/>
    <w:rsid w:val="004E35BF"/>
    <w:rsid w:val="004E38A2"/>
    <w:rsid w:val="004E38B2"/>
    <w:rsid w:val="004E3936"/>
    <w:rsid w:val="004E397D"/>
    <w:rsid w:val="004E3D80"/>
    <w:rsid w:val="004E41C6"/>
    <w:rsid w:val="004E45B6"/>
    <w:rsid w:val="004E4C61"/>
    <w:rsid w:val="004E503A"/>
    <w:rsid w:val="004E52D3"/>
    <w:rsid w:val="004E56EA"/>
    <w:rsid w:val="004E57F7"/>
    <w:rsid w:val="004E58E4"/>
    <w:rsid w:val="004E5D9C"/>
    <w:rsid w:val="004E675B"/>
    <w:rsid w:val="004E6B8E"/>
    <w:rsid w:val="004E6E2E"/>
    <w:rsid w:val="004E75CB"/>
    <w:rsid w:val="004E7AC8"/>
    <w:rsid w:val="004F0543"/>
    <w:rsid w:val="004F056B"/>
    <w:rsid w:val="004F0DDD"/>
    <w:rsid w:val="004F114F"/>
    <w:rsid w:val="004F1E2E"/>
    <w:rsid w:val="004F25B7"/>
    <w:rsid w:val="004F3068"/>
    <w:rsid w:val="004F49DD"/>
    <w:rsid w:val="004F4ACD"/>
    <w:rsid w:val="004F578B"/>
    <w:rsid w:val="004F5D6F"/>
    <w:rsid w:val="004F63F8"/>
    <w:rsid w:val="004F713A"/>
    <w:rsid w:val="004F728C"/>
    <w:rsid w:val="004F72AD"/>
    <w:rsid w:val="004F738C"/>
    <w:rsid w:val="004F7408"/>
    <w:rsid w:val="004F7B92"/>
    <w:rsid w:val="00500035"/>
    <w:rsid w:val="00500BDE"/>
    <w:rsid w:val="00500E97"/>
    <w:rsid w:val="00500F7A"/>
    <w:rsid w:val="005010F6"/>
    <w:rsid w:val="005011A4"/>
    <w:rsid w:val="005012AD"/>
    <w:rsid w:val="00501CDD"/>
    <w:rsid w:val="00501F97"/>
    <w:rsid w:val="0050241C"/>
    <w:rsid w:val="005027BB"/>
    <w:rsid w:val="005028E1"/>
    <w:rsid w:val="0050319C"/>
    <w:rsid w:val="005033A8"/>
    <w:rsid w:val="005037E1"/>
    <w:rsid w:val="00503A18"/>
    <w:rsid w:val="00503B5C"/>
    <w:rsid w:val="00503B96"/>
    <w:rsid w:val="0050456A"/>
    <w:rsid w:val="00504E37"/>
    <w:rsid w:val="00505E1D"/>
    <w:rsid w:val="005068E1"/>
    <w:rsid w:val="00506C12"/>
    <w:rsid w:val="00506CE0"/>
    <w:rsid w:val="005070EA"/>
    <w:rsid w:val="0050728A"/>
    <w:rsid w:val="0050760D"/>
    <w:rsid w:val="005077C5"/>
    <w:rsid w:val="0050796D"/>
    <w:rsid w:val="0051082A"/>
    <w:rsid w:val="00510870"/>
    <w:rsid w:val="005110BA"/>
    <w:rsid w:val="0051168A"/>
    <w:rsid w:val="00511823"/>
    <w:rsid w:val="00511DFB"/>
    <w:rsid w:val="00512085"/>
    <w:rsid w:val="00512205"/>
    <w:rsid w:val="005122F4"/>
    <w:rsid w:val="00513571"/>
    <w:rsid w:val="00513FA3"/>
    <w:rsid w:val="005141DA"/>
    <w:rsid w:val="005143FB"/>
    <w:rsid w:val="005144EA"/>
    <w:rsid w:val="00514E36"/>
    <w:rsid w:val="005156A6"/>
    <w:rsid w:val="00515ABC"/>
    <w:rsid w:val="00516393"/>
    <w:rsid w:val="00517871"/>
    <w:rsid w:val="00520B4F"/>
    <w:rsid w:val="005215EF"/>
    <w:rsid w:val="00522151"/>
    <w:rsid w:val="00522423"/>
    <w:rsid w:val="00522A54"/>
    <w:rsid w:val="00522CDA"/>
    <w:rsid w:val="00522DB0"/>
    <w:rsid w:val="00523306"/>
    <w:rsid w:val="0052367E"/>
    <w:rsid w:val="00523B66"/>
    <w:rsid w:val="00523F51"/>
    <w:rsid w:val="00524016"/>
    <w:rsid w:val="005244A4"/>
    <w:rsid w:val="00524595"/>
    <w:rsid w:val="00524AD7"/>
    <w:rsid w:val="005250D3"/>
    <w:rsid w:val="00525671"/>
    <w:rsid w:val="00525727"/>
    <w:rsid w:val="00525B43"/>
    <w:rsid w:val="0052639A"/>
    <w:rsid w:val="00526477"/>
    <w:rsid w:val="00526691"/>
    <w:rsid w:val="00527E19"/>
    <w:rsid w:val="0053027E"/>
    <w:rsid w:val="00530755"/>
    <w:rsid w:val="0053076D"/>
    <w:rsid w:val="00530F4C"/>
    <w:rsid w:val="0053133D"/>
    <w:rsid w:val="005313F7"/>
    <w:rsid w:val="00531F39"/>
    <w:rsid w:val="00532607"/>
    <w:rsid w:val="00532767"/>
    <w:rsid w:val="005328BA"/>
    <w:rsid w:val="00532F8B"/>
    <w:rsid w:val="00533920"/>
    <w:rsid w:val="00533DC4"/>
    <w:rsid w:val="0053480E"/>
    <w:rsid w:val="00534CB1"/>
    <w:rsid w:val="00534ED5"/>
    <w:rsid w:val="00535324"/>
    <w:rsid w:val="0053540E"/>
    <w:rsid w:val="00535521"/>
    <w:rsid w:val="0053574C"/>
    <w:rsid w:val="00535969"/>
    <w:rsid w:val="00535F4E"/>
    <w:rsid w:val="005371C4"/>
    <w:rsid w:val="0053749F"/>
    <w:rsid w:val="00540EDB"/>
    <w:rsid w:val="0054125E"/>
    <w:rsid w:val="005419F2"/>
    <w:rsid w:val="0054209B"/>
    <w:rsid w:val="00542113"/>
    <w:rsid w:val="0054216F"/>
    <w:rsid w:val="005422EB"/>
    <w:rsid w:val="0054294B"/>
    <w:rsid w:val="00542969"/>
    <w:rsid w:val="00542D37"/>
    <w:rsid w:val="00542F18"/>
    <w:rsid w:val="00543157"/>
    <w:rsid w:val="00543397"/>
    <w:rsid w:val="005439A1"/>
    <w:rsid w:val="00543C00"/>
    <w:rsid w:val="00544492"/>
    <w:rsid w:val="00544853"/>
    <w:rsid w:val="00544984"/>
    <w:rsid w:val="005450E2"/>
    <w:rsid w:val="00545264"/>
    <w:rsid w:val="005452E2"/>
    <w:rsid w:val="0054549F"/>
    <w:rsid w:val="005456F8"/>
    <w:rsid w:val="0054750F"/>
    <w:rsid w:val="0054786F"/>
    <w:rsid w:val="00547AC8"/>
    <w:rsid w:val="00547BE4"/>
    <w:rsid w:val="0055086B"/>
    <w:rsid w:val="005508E3"/>
    <w:rsid w:val="00550A28"/>
    <w:rsid w:val="00550D43"/>
    <w:rsid w:val="00550DD7"/>
    <w:rsid w:val="005512D5"/>
    <w:rsid w:val="00551350"/>
    <w:rsid w:val="0055175A"/>
    <w:rsid w:val="00551DEC"/>
    <w:rsid w:val="00552096"/>
    <w:rsid w:val="005523F9"/>
    <w:rsid w:val="0055245B"/>
    <w:rsid w:val="0055255F"/>
    <w:rsid w:val="00552717"/>
    <w:rsid w:val="00552D55"/>
    <w:rsid w:val="00553D54"/>
    <w:rsid w:val="00553F9F"/>
    <w:rsid w:val="005545E0"/>
    <w:rsid w:val="00554CB6"/>
    <w:rsid w:val="00554FC3"/>
    <w:rsid w:val="00555523"/>
    <w:rsid w:val="0055563E"/>
    <w:rsid w:val="00555E0D"/>
    <w:rsid w:val="00556796"/>
    <w:rsid w:val="00556E02"/>
    <w:rsid w:val="0055764E"/>
    <w:rsid w:val="00557770"/>
    <w:rsid w:val="0055783F"/>
    <w:rsid w:val="00557CF4"/>
    <w:rsid w:val="00560528"/>
    <w:rsid w:val="00560A5E"/>
    <w:rsid w:val="00560D92"/>
    <w:rsid w:val="00561923"/>
    <w:rsid w:val="00561CA1"/>
    <w:rsid w:val="005630F4"/>
    <w:rsid w:val="0056310A"/>
    <w:rsid w:val="00563C49"/>
    <w:rsid w:val="00564AD0"/>
    <w:rsid w:val="00565AC1"/>
    <w:rsid w:val="00566883"/>
    <w:rsid w:val="00567907"/>
    <w:rsid w:val="00567A04"/>
    <w:rsid w:val="00567F76"/>
    <w:rsid w:val="00570239"/>
    <w:rsid w:val="005704CB"/>
    <w:rsid w:val="005704DD"/>
    <w:rsid w:val="00570D7F"/>
    <w:rsid w:val="005710A9"/>
    <w:rsid w:val="00571D59"/>
    <w:rsid w:val="00572E3E"/>
    <w:rsid w:val="00573335"/>
    <w:rsid w:val="00573619"/>
    <w:rsid w:val="005737F5"/>
    <w:rsid w:val="00573860"/>
    <w:rsid w:val="00573EE9"/>
    <w:rsid w:val="005741C2"/>
    <w:rsid w:val="00574209"/>
    <w:rsid w:val="0057420B"/>
    <w:rsid w:val="00574401"/>
    <w:rsid w:val="0057574C"/>
    <w:rsid w:val="00575951"/>
    <w:rsid w:val="00576330"/>
    <w:rsid w:val="00576566"/>
    <w:rsid w:val="00577C2B"/>
    <w:rsid w:val="00577E70"/>
    <w:rsid w:val="00577E96"/>
    <w:rsid w:val="00577FBB"/>
    <w:rsid w:val="005800F5"/>
    <w:rsid w:val="00580280"/>
    <w:rsid w:val="0058031C"/>
    <w:rsid w:val="00580611"/>
    <w:rsid w:val="0058135A"/>
    <w:rsid w:val="005815FE"/>
    <w:rsid w:val="005817FD"/>
    <w:rsid w:val="00581EDE"/>
    <w:rsid w:val="00582776"/>
    <w:rsid w:val="00582C36"/>
    <w:rsid w:val="00583FDC"/>
    <w:rsid w:val="00584058"/>
    <w:rsid w:val="005847E2"/>
    <w:rsid w:val="00585571"/>
    <w:rsid w:val="005855F8"/>
    <w:rsid w:val="00585991"/>
    <w:rsid w:val="00585B91"/>
    <w:rsid w:val="00585D45"/>
    <w:rsid w:val="00586BF1"/>
    <w:rsid w:val="005872CC"/>
    <w:rsid w:val="0058745C"/>
    <w:rsid w:val="005903E4"/>
    <w:rsid w:val="00590954"/>
    <w:rsid w:val="00591256"/>
    <w:rsid w:val="005917DF"/>
    <w:rsid w:val="00592264"/>
    <w:rsid w:val="00592899"/>
    <w:rsid w:val="00592A40"/>
    <w:rsid w:val="00593386"/>
    <w:rsid w:val="00593604"/>
    <w:rsid w:val="0059424C"/>
    <w:rsid w:val="005943AE"/>
    <w:rsid w:val="0059442B"/>
    <w:rsid w:val="00594826"/>
    <w:rsid w:val="00594881"/>
    <w:rsid w:val="00594884"/>
    <w:rsid w:val="005950D6"/>
    <w:rsid w:val="00595486"/>
    <w:rsid w:val="005958D0"/>
    <w:rsid w:val="00595D8B"/>
    <w:rsid w:val="005962B6"/>
    <w:rsid w:val="005964BF"/>
    <w:rsid w:val="00596B9C"/>
    <w:rsid w:val="00596ED3"/>
    <w:rsid w:val="0059751C"/>
    <w:rsid w:val="0059786C"/>
    <w:rsid w:val="00597919"/>
    <w:rsid w:val="005A0506"/>
    <w:rsid w:val="005A0861"/>
    <w:rsid w:val="005A0B9F"/>
    <w:rsid w:val="005A0C48"/>
    <w:rsid w:val="005A0D08"/>
    <w:rsid w:val="005A0D31"/>
    <w:rsid w:val="005A2FCE"/>
    <w:rsid w:val="005A3789"/>
    <w:rsid w:val="005A3ACA"/>
    <w:rsid w:val="005A3B1B"/>
    <w:rsid w:val="005A42FD"/>
    <w:rsid w:val="005A4707"/>
    <w:rsid w:val="005A496B"/>
    <w:rsid w:val="005A4B19"/>
    <w:rsid w:val="005A4FF1"/>
    <w:rsid w:val="005A5171"/>
    <w:rsid w:val="005A5D1A"/>
    <w:rsid w:val="005A6089"/>
    <w:rsid w:val="005A63D8"/>
    <w:rsid w:val="005A669B"/>
    <w:rsid w:val="005A6E11"/>
    <w:rsid w:val="005A73D7"/>
    <w:rsid w:val="005A7DBE"/>
    <w:rsid w:val="005B009D"/>
    <w:rsid w:val="005B021B"/>
    <w:rsid w:val="005B03F8"/>
    <w:rsid w:val="005B075B"/>
    <w:rsid w:val="005B0A62"/>
    <w:rsid w:val="005B0AEE"/>
    <w:rsid w:val="005B1082"/>
    <w:rsid w:val="005B1BEC"/>
    <w:rsid w:val="005B1DFA"/>
    <w:rsid w:val="005B1EB5"/>
    <w:rsid w:val="005B204B"/>
    <w:rsid w:val="005B2C3A"/>
    <w:rsid w:val="005B32CE"/>
    <w:rsid w:val="005B33DC"/>
    <w:rsid w:val="005B34EE"/>
    <w:rsid w:val="005B3568"/>
    <w:rsid w:val="005B3606"/>
    <w:rsid w:val="005B38B6"/>
    <w:rsid w:val="005B446E"/>
    <w:rsid w:val="005B49B6"/>
    <w:rsid w:val="005B4D55"/>
    <w:rsid w:val="005B5D5E"/>
    <w:rsid w:val="005B5FDA"/>
    <w:rsid w:val="005B68A7"/>
    <w:rsid w:val="005B6AD2"/>
    <w:rsid w:val="005B6E36"/>
    <w:rsid w:val="005B74C5"/>
    <w:rsid w:val="005B7733"/>
    <w:rsid w:val="005B7976"/>
    <w:rsid w:val="005B7A22"/>
    <w:rsid w:val="005C00C1"/>
    <w:rsid w:val="005C047D"/>
    <w:rsid w:val="005C0602"/>
    <w:rsid w:val="005C12A6"/>
    <w:rsid w:val="005C1D73"/>
    <w:rsid w:val="005C2114"/>
    <w:rsid w:val="005C2362"/>
    <w:rsid w:val="005C25DD"/>
    <w:rsid w:val="005C2AB0"/>
    <w:rsid w:val="005C2E28"/>
    <w:rsid w:val="005C3015"/>
    <w:rsid w:val="005C3069"/>
    <w:rsid w:val="005C30A3"/>
    <w:rsid w:val="005C343C"/>
    <w:rsid w:val="005C37F5"/>
    <w:rsid w:val="005C3BD3"/>
    <w:rsid w:val="005C40C7"/>
    <w:rsid w:val="005C42B0"/>
    <w:rsid w:val="005C4A96"/>
    <w:rsid w:val="005C4C7F"/>
    <w:rsid w:val="005C57C8"/>
    <w:rsid w:val="005C5E51"/>
    <w:rsid w:val="005C63FA"/>
    <w:rsid w:val="005C6F54"/>
    <w:rsid w:val="005C75D1"/>
    <w:rsid w:val="005C773A"/>
    <w:rsid w:val="005C7C28"/>
    <w:rsid w:val="005D0512"/>
    <w:rsid w:val="005D058E"/>
    <w:rsid w:val="005D082B"/>
    <w:rsid w:val="005D0976"/>
    <w:rsid w:val="005D097F"/>
    <w:rsid w:val="005D0E7C"/>
    <w:rsid w:val="005D0EE8"/>
    <w:rsid w:val="005D10BA"/>
    <w:rsid w:val="005D1576"/>
    <w:rsid w:val="005D1762"/>
    <w:rsid w:val="005D1D9F"/>
    <w:rsid w:val="005D2216"/>
    <w:rsid w:val="005D2217"/>
    <w:rsid w:val="005D2667"/>
    <w:rsid w:val="005D3EBB"/>
    <w:rsid w:val="005D42B4"/>
    <w:rsid w:val="005D4CF7"/>
    <w:rsid w:val="005D51D9"/>
    <w:rsid w:val="005D5347"/>
    <w:rsid w:val="005D570F"/>
    <w:rsid w:val="005D5CC5"/>
    <w:rsid w:val="005D5DCA"/>
    <w:rsid w:val="005D5E85"/>
    <w:rsid w:val="005D63B4"/>
    <w:rsid w:val="005D6732"/>
    <w:rsid w:val="005D787B"/>
    <w:rsid w:val="005D7E93"/>
    <w:rsid w:val="005E0949"/>
    <w:rsid w:val="005E12BE"/>
    <w:rsid w:val="005E1467"/>
    <w:rsid w:val="005E1F3C"/>
    <w:rsid w:val="005E22DC"/>
    <w:rsid w:val="005E241F"/>
    <w:rsid w:val="005E281B"/>
    <w:rsid w:val="005E3154"/>
    <w:rsid w:val="005E3DF8"/>
    <w:rsid w:val="005E43B5"/>
    <w:rsid w:val="005E4660"/>
    <w:rsid w:val="005E4F66"/>
    <w:rsid w:val="005E515C"/>
    <w:rsid w:val="005E6499"/>
    <w:rsid w:val="005E6505"/>
    <w:rsid w:val="005E75E3"/>
    <w:rsid w:val="005E7ECD"/>
    <w:rsid w:val="005F0215"/>
    <w:rsid w:val="005F1267"/>
    <w:rsid w:val="005F1D43"/>
    <w:rsid w:val="005F2AC1"/>
    <w:rsid w:val="005F2EA8"/>
    <w:rsid w:val="005F322F"/>
    <w:rsid w:val="005F3322"/>
    <w:rsid w:val="005F3751"/>
    <w:rsid w:val="005F3EC3"/>
    <w:rsid w:val="005F4136"/>
    <w:rsid w:val="005F446D"/>
    <w:rsid w:val="005F4DDE"/>
    <w:rsid w:val="005F5051"/>
    <w:rsid w:val="005F50DD"/>
    <w:rsid w:val="005F584B"/>
    <w:rsid w:val="005F64C6"/>
    <w:rsid w:val="005F76FB"/>
    <w:rsid w:val="005F784D"/>
    <w:rsid w:val="005F7A0B"/>
    <w:rsid w:val="005F7DAE"/>
    <w:rsid w:val="0060081A"/>
    <w:rsid w:val="00600828"/>
    <w:rsid w:val="006008F1"/>
    <w:rsid w:val="00600C01"/>
    <w:rsid w:val="00600E1B"/>
    <w:rsid w:val="00601735"/>
    <w:rsid w:val="00601BE4"/>
    <w:rsid w:val="006025F2"/>
    <w:rsid w:val="00602AC4"/>
    <w:rsid w:val="00602B46"/>
    <w:rsid w:val="00602BD2"/>
    <w:rsid w:val="006034BF"/>
    <w:rsid w:val="006039B8"/>
    <w:rsid w:val="00604B87"/>
    <w:rsid w:val="00604CBC"/>
    <w:rsid w:val="00604E04"/>
    <w:rsid w:val="00605025"/>
    <w:rsid w:val="00605275"/>
    <w:rsid w:val="00605529"/>
    <w:rsid w:val="00605CAB"/>
    <w:rsid w:val="00605DAE"/>
    <w:rsid w:val="00605DB9"/>
    <w:rsid w:val="0060650E"/>
    <w:rsid w:val="006065CF"/>
    <w:rsid w:val="00606E5D"/>
    <w:rsid w:val="00607040"/>
    <w:rsid w:val="006075BE"/>
    <w:rsid w:val="006076EF"/>
    <w:rsid w:val="006079C8"/>
    <w:rsid w:val="00607C70"/>
    <w:rsid w:val="00610F39"/>
    <w:rsid w:val="00611079"/>
    <w:rsid w:val="00611A4C"/>
    <w:rsid w:val="00612E59"/>
    <w:rsid w:val="0061315B"/>
    <w:rsid w:val="00613648"/>
    <w:rsid w:val="00613C12"/>
    <w:rsid w:val="00613C47"/>
    <w:rsid w:val="00614062"/>
    <w:rsid w:val="00614071"/>
    <w:rsid w:val="00614292"/>
    <w:rsid w:val="006148AC"/>
    <w:rsid w:val="00615654"/>
    <w:rsid w:val="00616201"/>
    <w:rsid w:val="00616225"/>
    <w:rsid w:val="00616C1C"/>
    <w:rsid w:val="00616D5E"/>
    <w:rsid w:val="00616EEC"/>
    <w:rsid w:val="00617270"/>
    <w:rsid w:val="006174C5"/>
    <w:rsid w:val="00617A8B"/>
    <w:rsid w:val="00617C23"/>
    <w:rsid w:val="006200B8"/>
    <w:rsid w:val="0062040C"/>
    <w:rsid w:val="00620422"/>
    <w:rsid w:val="00620A9B"/>
    <w:rsid w:val="00620B87"/>
    <w:rsid w:val="006219E3"/>
    <w:rsid w:val="0062224C"/>
    <w:rsid w:val="00622FEA"/>
    <w:rsid w:val="006234A7"/>
    <w:rsid w:val="006237D6"/>
    <w:rsid w:val="006237EE"/>
    <w:rsid w:val="006238B2"/>
    <w:rsid w:val="00623B67"/>
    <w:rsid w:val="00623CDF"/>
    <w:rsid w:val="00623DB1"/>
    <w:rsid w:val="00623E78"/>
    <w:rsid w:val="006241D2"/>
    <w:rsid w:val="006245F3"/>
    <w:rsid w:val="00624B63"/>
    <w:rsid w:val="00624E6F"/>
    <w:rsid w:val="00624FEB"/>
    <w:rsid w:val="0062529D"/>
    <w:rsid w:val="006252E6"/>
    <w:rsid w:val="0062552F"/>
    <w:rsid w:val="00625B47"/>
    <w:rsid w:val="006267E8"/>
    <w:rsid w:val="00626A11"/>
    <w:rsid w:val="00626BE7"/>
    <w:rsid w:val="0062726B"/>
    <w:rsid w:val="00627353"/>
    <w:rsid w:val="00627ED6"/>
    <w:rsid w:val="006304D2"/>
    <w:rsid w:val="006307EF"/>
    <w:rsid w:val="00630C76"/>
    <w:rsid w:val="0063137F"/>
    <w:rsid w:val="006319CA"/>
    <w:rsid w:val="00633107"/>
    <w:rsid w:val="00634932"/>
    <w:rsid w:val="00634CD1"/>
    <w:rsid w:val="00634E71"/>
    <w:rsid w:val="00634EC0"/>
    <w:rsid w:val="00635233"/>
    <w:rsid w:val="0063627F"/>
    <w:rsid w:val="006362FE"/>
    <w:rsid w:val="006364D6"/>
    <w:rsid w:val="006370A6"/>
    <w:rsid w:val="00637A76"/>
    <w:rsid w:val="00637EE5"/>
    <w:rsid w:val="00640E07"/>
    <w:rsid w:val="006411E4"/>
    <w:rsid w:val="006412A5"/>
    <w:rsid w:val="0064140B"/>
    <w:rsid w:val="006419A2"/>
    <w:rsid w:val="00642012"/>
    <w:rsid w:val="0064266A"/>
    <w:rsid w:val="00642D72"/>
    <w:rsid w:val="006431BC"/>
    <w:rsid w:val="00643671"/>
    <w:rsid w:val="00643819"/>
    <w:rsid w:val="00643B4C"/>
    <w:rsid w:val="00643F85"/>
    <w:rsid w:val="006443CB"/>
    <w:rsid w:val="00644A19"/>
    <w:rsid w:val="00644B55"/>
    <w:rsid w:val="00644F80"/>
    <w:rsid w:val="00645874"/>
    <w:rsid w:val="006478DA"/>
    <w:rsid w:val="006479E0"/>
    <w:rsid w:val="00647A43"/>
    <w:rsid w:val="00647F7B"/>
    <w:rsid w:val="0065074A"/>
    <w:rsid w:val="0065116C"/>
    <w:rsid w:val="00651E96"/>
    <w:rsid w:val="00652423"/>
    <w:rsid w:val="006533F3"/>
    <w:rsid w:val="00653579"/>
    <w:rsid w:val="00653F6B"/>
    <w:rsid w:val="00653FE6"/>
    <w:rsid w:val="0065446A"/>
    <w:rsid w:val="00654C11"/>
    <w:rsid w:val="006551F6"/>
    <w:rsid w:val="0065552B"/>
    <w:rsid w:val="006558F8"/>
    <w:rsid w:val="00656662"/>
    <w:rsid w:val="006566ED"/>
    <w:rsid w:val="00656B4B"/>
    <w:rsid w:val="00660024"/>
    <w:rsid w:val="00660B46"/>
    <w:rsid w:val="00660F6F"/>
    <w:rsid w:val="00661918"/>
    <w:rsid w:val="0066199E"/>
    <w:rsid w:val="00661CD2"/>
    <w:rsid w:val="00661F08"/>
    <w:rsid w:val="00662130"/>
    <w:rsid w:val="00662453"/>
    <w:rsid w:val="00662889"/>
    <w:rsid w:val="00662A5A"/>
    <w:rsid w:val="00662B7E"/>
    <w:rsid w:val="00662F7D"/>
    <w:rsid w:val="0066318E"/>
    <w:rsid w:val="006647A9"/>
    <w:rsid w:val="00664875"/>
    <w:rsid w:val="00664938"/>
    <w:rsid w:val="006649BD"/>
    <w:rsid w:val="00664CE3"/>
    <w:rsid w:val="006650F7"/>
    <w:rsid w:val="006653D7"/>
    <w:rsid w:val="006654F3"/>
    <w:rsid w:val="00665F5E"/>
    <w:rsid w:val="00666091"/>
    <w:rsid w:val="0066657E"/>
    <w:rsid w:val="006665BA"/>
    <w:rsid w:val="006665FE"/>
    <w:rsid w:val="00666A4F"/>
    <w:rsid w:val="00666B25"/>
    <w:rsid w:val="00667106"/>
    <w:rsid w:val="00667460"/>
    <w:rsid w:val="00667FC6"/>
    <w:rsid w:val="006701A7"/>
    <w:rsid w:val="006703AA"/>
    <w:rsid w:val="006703D9"/>
    <w:rsid w:val="00670473"/>
    <w:rsid w:val="006704B8"/>
    <w:rsid w:val="006704F6"/>
    <w:rsid w:val="006708EA"/>
    <w:rsid w:val="00670947"/>
    <w:rsid w:val="00671091"/>
    <w:rsid w:val="00671AC7"/>
    <w:rsid w:val="00671EB7"/>
    <w:rsid w:val="00672569"/>
    <w:rsid w:val="0067281B"/>
    <w:rsid w:val="006737E6"/>
    <w:rsid w:val="0067426D"/>
    <w:rsid w:val="0067511D"/>
    <w:rsid w:val="0067545E"/>
    <w:rsid w:val="00675611"/>
    <w:rsid w:val="00675D2F"/>
    <w:rsid w:val="00676062"/>
    <w:rsid w:val="00676C72"/>
    <w:rsid w:val="00676E43"/>
    <w:rsid w:val="00677435"/>
    <w:rsid w:val="00677C33"/>
    <w:rsid w:val="00680936"/>
    <w:rsid w:val="00680D8C"/>
    <w:rsid w:val="0068165C"/>
    <w:rsid w:val="006818B4"/>
    <w:rsid w:val="00681B25"/>
    <w:rsid w:val="00681C66"/>
    <w:rsid w:val="00681D8C"/>
    <w:rsid w:val="00681DEA"/>
    <w:rsid w:val="006820E0"/>
    <w:rsid w:val="00682221"/>
    <w:rsid w:val="006826B4"/>
    <w:rsid w:val="00682725"/>
    <w:rsid w:val="00682A2D"/>
    <w:rsid w:val="00682D87"/>
    <w:rsid w:val="00683502"/>
    <w:rsid w:val="00683A1C"/>
    <w:rsid w:val="00683C37"/>
    <w:rsid w:val="00683E4E"/>
    <w:rsid w:val="00684387"/>
    <w:rsid w:val="006845A2"/>
    <w:rsid w:val="006853A4"/>
    <w:rsid w:val="006853C3"/>
    <w:rsid w:val="006862B9"/>
    <w:rsid w:val="00686546"/>
    <w:rsid w:val="006876CE"/>
    <w:rsid w:val="006877FF"/>
    <w:rsid w:val="0068793A"/>
    <w:rsid w:val="00687B34"/>
    <w:rsid w:val="00690781"/>
    <w:rsid w:val="00690B17"/>
    <w:rsid w:val="0069128F"/>
    <w:rsid w:val="00691404"/>
    <w:rsid w:val="00691415"/>
    <w:rsid w:val="00691580"/>
    <w:rsid w:val="00691C9D"/>
    <w:rsid w:val="00691E60"/>
    <w:rsid w:val="0069207C"/>
    <w:rsid w:val="006920A6"/>
    <w:rsid w:val="00692582"/>
    <w:rsid w:val="00692DAF"/>
    <w:rsid w:val="00692FF6"/>
    <w:rsid w:val="006935A7"/>
    <w:rsid w:val="00693652"/>
    <w:rsid w:val="006939E7"/>
    <w:rsid w:val="00693D3E"/>
    <w:rsid w:val="006942F7"/>
    <w:rsid w:val="00694475"/>
    <w:rsid w:val="00694564"/>
    <w:rsid w:val="006946B2"/>
    <w:rsid w:val="00695396"/>
    <w:rsid w:val="006954A0"/>
    <w:rsid w:val="00695620"/>
    <w:rsid w:val="00695659"/>
    <w:rsid w:val="00695D76"/>
    <w:rsid w:val="00695DCE"/>
    <w:rsid w:val="00696142"/>
    <w:rsid w:val="00696A0F"/>
    <w:rsid w:val="006971D2"/>
    <w:rsid w:val="00697AE8"/>
    <w:rsid w:val="00697F01"/>
    <w:rsid w:val="006A017C"/>
    <w:rsid w:val="006A15BA"/>
    <w:rsid w:val="006A1AAE"/>
    <w:rsid w:val="006A1D60"/>
    <w:rsid w:val="006A2150"/>
    <w:rsid w:val="006A241D"/>
    <w:rsid w:val="006A3288"/>
    <w:rsid w:val="006A35A2"/>
    <w:rsid w:val="006A3939"/>
    <w:rsid w:val="006A3C54"/>
    <w:rsid w:val="006A3CB4"/>
    <w:rsid w:val="006A43E6"/>
    <w:rsid w:val="006A45B1"/>
    <w:rsid w:val="006A470C"/>
    <w:rsid w:val="006A4893"/>
    <w:rsid w:val="006A4A1E"/>
    <w:rsid w:val="006A4D1D"/>
    <w:rsid w:val="006A4FC1"/>
    <w:rsid w:val="006A50C7"/>
    <w:rsid w:val="006A5136"/>
    <w:rsid w:val="006A53B9"/>
    <w:rsid w:val="006A5E28"/>
    <w:rsid w:val="006A5E65"/>
    <w:rsid w:val="006A692E"/>
    <w:rsid w:val="006A6A3A"/>
    <w:rsid w:val="006A6E33"/>
    <w:rsid w:val="006A6E5E"/>
    <w:rsid w:val="006A70BE"/>
    <w:rsid w:val="006A7662"/>
    <w:rsid w:val="006A786D"/>
    <w:rsid w:val="006A7F39"/>
    <w:rsid w:val="006B0121"/>
    <w:rsid w:val="006B0128"/>
    <w:rsid w:val="006B059F"/>
    <w:rsid w:val="006B0BA9"/>
    <w:rsid w:val="006B134D"/>
    <w:rsid w:val="006B182B"/>
    <w:rsid w:val="006B1A20"/>
    <w:rsid w:val="006B1C7C"/>
    <w:rsid w:val="006B1EC8"/>
    <w:rsid w:val="006B2136"/>
    <w:rsid w:val="006B3086"/>
    <w:rsid w:val="006B4547"/>
    <w:rsid w:val="006B63D8"/>
    <w:rsid w:val="006B6F32"/>
    <w:rsid w:val="006B7130"/>
    <w:rsid w:val="006B74B4"/>
    <w:rsid w:val="006B7D4A"/>
    <w:rsid w:val="006B7EF5"/>
    <w:rsid w:val="006C06F7"/>
    <w:rsid w:val="006C1294"/>
    <w:rsid w:val="006C201C"/>
    <w:rsid w:val="006C29F7"/>
    <w:rsid w:val="006C2F42"/>
    <w:rsid w:val="006C397B"/>
    <w:rsid w:val="006C408A"/>
    <w:rsid w:val="006C4150"/>
    <w:rsid w:val="006C4F75"/>
    <w:rsid w:val="006C507B"/>
    <w:rsid w:val="006C5186"/>
    <w:rsid w:val="006C51DA"/>
    <w:rsid w:val="006C5214"/>
    <w:rsid w:val="006C5683"/>
    <w:rsid w:val="006C5E33"/>
    <w:rsid w:val="006C5E48"/>
    <w:rsid w:val="006C6434"/>
    <w:rsid w:val="006C6552"/>
    <w:rsid w:val="006C65CC"/>
    <w:rsid w:val="006C6B08"/>
    <w:rsid w:val="006C6CD8"/>
    <w:rsid w:val="006C6CF4"/>
    <w:rsid w:val="006C75A8"/>
    <w:rsid w:val="006D013F"/>
    <w:rsid w:val="006D017F"/>
    <w:rsid w:val="006D0301"/>
    <w:rsid w:val="006D032D"/>
    <w:rsid w:val="006D08DF"/>
    <w:rsid w:val="006D0A14"/>
    <w:rsid w:val="006D10BF"/>
    <w:rsid w:val="006D1C72"/>
    <w:rsid w:val="006D1D3F"/>
    <w:rsid w:val="006D20B4"/>
    <w:rsid w:val="006D211A"/>
    <w:rsid w:val="006D2145"/>
    <w:rsid w:val="006D253B"/>
    <w:rsid w:val="006D3441"/>
    <w:rsid w:val="006D35DB"/>
    <w:rsid w:val="006D3C4F"/>
    <w:rsid w:val="006D3D5E"/>
    <w:rsid w:val="006D44D0"/>
    <w:rsid w:val="006D4A4A"/>
    <w:rsid w:val="006D5625"/>
    <w:rsid w:val="006D57CB"/>
    <w:rsid w:val="006D5923"/>
    <w:rsid w:val="006D5A82"/>
    <w:rsid w:val="006D5D92"/>
    <w:rsid w:val="006D60EE"/>
    <w:rsid w:val="006D6550"/>
    <w:rsid w:val="006D6CDD"/>
    <w:rsid w:val="006D719D"/>
    <w:rsid w:val="006D7444"/>
    <w:rsid w:val="006D7A4C"/>
    <w:rsid w:val="006E044C"/>
    <w:rsid w:val="006E1267"/>
    <w:rsid w:val="006E1B3C"/>
    <w:rsid w:val="006E2251"/>
    <w:rsid w:val="006E2AF2"/>
    <w:rsid w:val="006E36D4"/>
    <w:rsid w:val="006E3992"/>
    <w:rsid w:val="006E3AAD"/>
    <w:rsid w:val="006E4238"/>
    <w:rsid w:val="006E4239"/>
    <w:rsid w:val="006E447A"/>
    <w:rsid w:val="006E44FC"/>
    <w:rsid w:val="006E4511"/>
    <w:rsid w:val="006E4560"/>
    <w:rsid w:val="006E665F"/>
    <w:rsid w:val="006E6948"/>
    <w:rsid w:val="006E71FE"/>
    <w:rsid w:val="006E720E"/>
    <w:rsid w:val="006E78DA"/>
    <w:rsid w:val="006E7B97"/>
    <w:rsid w:val="006E7BEB"/>
    <w:rsid w:val="006E7C1C"/>
    <w:rsid w:val="006E7D23"/>
    <w:rsid w:val="006F05FD"/>
    <w:rsid w:val="006F063E"/>
    <w:rsid w:val="006F0B83"/>
    <w:rsid w:val="006F1554"/>
    <w:rsid w:val="006F15F3"/>
    <w:rsid w:val="006F1BBB"/>
    <w:rsid w:val="006F1C92"/>
    <w:rsid w:val="006F2173"/>
    <w:rsid w:val="006F2318"/>
    <w:rsid w:val="006F2550"/>
    <w:rsid w:val="006F2CA3"/>
    <w:rsid w:val="006F3B10"/>
    <w:rsid w:val="006F3EA8"/>
    <w:rsid w:val="006F41BA"/>
    <w:rsid w:val="006F41E7"/>
    <w:rsid w:val="006F4740"/>
    <w:rsid w:val="006F49A7"/>
    <w:rsid w:val="006F4CB8"/>
    <w:rsid w:val="006F568F"/>
    <w:rsid w:val="006F6798"/>
    <w:rsid w:val="006F6D4C"/>
    <w:rsid w:val="006F6E67"/>
    <w:rsid w:val="006F7157"/>
    <w:rsid w:val="006F78E0"/>
    <w:rsid w:val="006F7BF5"/>
    <w:rsid w:val="006F7FE0"/>
    <w:rsid w:val="0070032D"/>
    <w:rsid w:val="0070155F"/>
    <w:rsid w:val="00701590"/>
    <w:rsid w:val="00701CF4"/>
    <w:rsid w:val="007020E9"/>
    <w:rsid w:val="00702150"/>
    <w:rsid w:val="00702B1B"/>
    <w:rsid w:val="00702CFE"/>
    <w:rsid w:val="0070395E"/>
    <w:rsid w:val="00704164"/>
    <w:rsid w:val="00704531"/>
    <w:rsid w:val="00704E3D"/>
    <w:rsid w:val="00705031"/>
    <w:rsid w:val="007053D4"/>
    <w:rsid w:val="00705F52"/>
    <w:rsid w:val="00706277"/>
    <w:rsid w:val="0070651E"/>
    <w:rsid w:val="00706A58"/>
    <w:rsid w:val="00706C93"/>
    <w:rsid w:val="00710253"/>
    <w:rsid w:val="00710437"/>
    <w:rsid w:val="00711022"/>
    <w:rsid w:val="007110E1"/>
    <w:rsid w:val="00711CFE"/>
    <w:rsid w:val="00711DED"/>
    <w:rsid w:val="00712584"/>
    <w:rsid w:val="007127F4"/>
    <w:rsid w:val="00713662"/>
    <w:rsid w:val="007139C3"/>
    <w:rsid w:val="007142A7"/>
    <w:rsid w:val="00714394"/>
    <w:rsid w:val="007143BC"/>
    <w:rsid w:val="00714C0F"/>
    <w:rsid w:val="00714E44"/>
    <w:rsid w:val="007150B9"/>
    <w:rsid w:val="00715639"/>
    <w:rsid w:val="00715AAC"/>
    <w:rsid w:val="007163F8"/>
    <w:rsid w:val="00716498"/>
    <w:rsid w:val="00716B9D"/>
    <w:rsid w:val="00716D40"/>
    <w:rsid w:val="00716E93"/>
    <w:rsid w:val="0071729C"/>
    <w:rsid w:val="00720A0F"/>
    <w:rsid w:val="00720A60"/>
    <w:rsid w:val="00720ADE"/>
    <w:rsid w:val="007210F5"/>
    <w:rsid w:val="00721235"/>
    <w:rsid w:val="00721282"/>
    <w:rsid w:val="007213BB"/>
    <w:rsid w:val="00721946"/>
    <w:rsid w:val="00721AFE"/>
    <w:rsid w:val="00721F7E"/>
    <w:rsid w:val="00721FE5"/>
    <w:rsid w:val="0072238C"/>
    <w:rsid w:val="007225B1"/>
    <w:rsid w:val="00722E29"/>
    <w:rsid w:val="007238C5"/>
    <w:rsid w:val="00723A29"/>
    <w:rsid w:val="00724606"/>
    <w:rsid w:val="00724E85"/>
    <w:rsid w:val="00725860"/>
    <w:rsid w:val="00725FAE"/>
    <w:rsid w:val="007266DD"/>
    <w:rsid w:val="00726B00"/>
    <w:rsid w:val="00726DA7"/>
    <w:rsid w:val="00727583"/>
    <w:rsid w:val="00730073"/>
    <w:rsid w:val="00730F89"/>
    <w:rsid w:val="007314D4"/>
    <w:rsid w:val="00732E20"/>
    <w:rsid w:val="00733025"/>
    <w:rsid w:val="007334DC"/>
    <w:rsid w:val="00734887"/>
    <w:rsid w:val="00734994"/>
    <w:rsid w:val="00735BFA"/>
    <w:rsid w:val="0073642E"/>
    <w:rsid w:val="007365B6"/>
    <w:rsid w:val="00736B84"/>
    <w:rsid w:val="00737311"/>
    <w:rsid w:val="00737EBD"/>
    <w:rsid w:val="007401E2"/>
    <w:rsid w:val="0074077D"/>
    <w:rsid w:val="0074081A"/>
    <w:rsid w:val="00740B49"/>
    <w:rsid w:val="00740E33"/>
    <w:rsid w:val="007411E5"/>
    <w:rsid w:val="00741697"/>
    <w:rsid w:val="00742F8A"/>
    <w:rsid w:val="007431CD"/>
    <w:rsid w:val="007443C2"/>
    <w:rsid w:val="007447A4"/>
    <w:rsid w:val="00744FA3"/>
    <w:rsid w:val="00745385"/>
    <w:rsid w:val="00745726"/>
    <w:rsid w:val="00745AE0"/>
    <w:rsid w:val="00746951"/>
    <w:rsid w:val="0074722C"/>
    <w:rsid w:val="0074751B"/>
    <w:rsid w:val="0074791E"/>
    <w:rsid w:val="0075001A"/>
    <w:rsid w:val="00750376"/>
    <w:rsid w:val="00750904"/>
    <w:rsid w:val="00750A08"/>
    <w:rsid w:val="00750A66"/>
    <w:rsid w:val="00750B28"/>
    <w:rsid w:val="00750D30"/>
    <w:rsid w:val="0075115D"/>
    <w:rsid w:val="007517F3"/>
    <w:rsid w:val="00751A01"/>
    <w:rsid w:val="007523F2"/>
    <w:rsid w:val="007524D7"/>
    <w:rsid w:val="0075283C"/>
    <w:rsid w:val="00753069"/>
    <w:rsid w:val="007534D4"/>
    <w:rsid w:val="0075372E"/>
    <w:rsid w:val="00753890"/>
    <w:rsid w:val="00753B7D"/>
    <w:rsid w:val="00754A33"/>
    <w:rsid w:val="00754EEC"/>
    <w:rsid w:val="0075500C"/>
    <w:rsid w:val="0075501A"/>
    <w:rsid w:val="007555DF"/>
    <w:rsid w:val="00755818"/>
    <w:rsid w:val="00755D21"/>
    <w:rsid w:val="00755E75"/>
    <w:rsid w:val="007564E1"/>
    <w:rsid w:val="007565B5"/>
    <w:rsid w:val="00756C43"/>
    <w:rsid w:val="0075775A"/>
    <w:rsid w:val="007600E6"/>
    <w:rsid w:val="00760C40"/>
    <w:rsid w:val="00760D49"/>
    <w:rsid w:val="00760FBE"/>
    <w:rsid w:val="0076118F"/>
    <w:rsid w:val="00761434"/>
    <w:rsid w:val="00761721"/>
    <w:rsid w:val="007618EF"/>
    <w:rsid w:val="00761ADD"/>
    <w:rsid w:val="00761FD5"/>
    <w:rsid w:val="00763B6C"/>
    <w:rsid w:val="00763DB6"/>
    <w:rsid w:val="00764054"/>
    <w:rsid w:val="00764F70"/>
    <w:rsid w:val="00765CC3"/>
    <w:rsid w:val="00765DD8"/>
    <w:rsid w:val="007666DD"/>
    <w:rsid w:val="007669D3"/>
    <w:rsid w:val="00766D36"/>
    <w:rsid w:val="007673C6"/>
    <w:rsid w:val="00767607"/>
    <w:rsid w:val="00767985"/>
    <w:rsid w:val="00770825"/>
    <w:rsid w:val="007709CB"/>
    <w:rsid w:val="0077158D"/>
    <w:rsid w:val="0077165F"/>
    <w:rsid w:val="00772803"/>
    <w:rsid w:val="00772EDF"/>
    <w:rsid w:val="00772FA4"/>
    <w:rsid w:val="007735C4"/>
    <w:rsid w:val="00773874"/>
    <w:rsid w:val="00773D56"/>
    <w:rsid w:val="0077477A"/>
    <w:rsid w:val="00774BFF"/>
    <w:rsid w:val="00774FDC"/>
    <w:rsid w:val="00775048"/>
    <w:rsid w:val="00775273"/>
    <w:rsid w:val="00775861"/>
    <w:rsid w:val="00775952"/>
    <w:rsid w:val="00775B52"/>
    <w:rsid w:val="00775EED"/>
    <w:rsid w:val="007762C6"/>
    <w:rsid w:val="007765DF"/>
    <w:rsid w:val="007770B9"/>
    <w:rsid w:val="00777117"/>
    <w:rsid w:val="00780A4F"/>
    <w:rsid w:val="00780D88"/>
    <w:rsid w:val="00780F42"/>
    <w:rsid w:val="0078126C"/>
    <w:rsid w:val="00781AD1"/>
    <w:rsid w:val="0078258B"/>
    <w:rsid w:val="00783BCC"/>
    <w:rsid w:val="007840F3"/>
    <w:rsid w:val="00784121"/>
    <w:rsid w:val="007842A0"/>
    <w:rsid w:val="00784315"/>
    <w:rsid w:val="00784B64"/>
    <w:rsid w:val="00784D55"/>
    <w:rsid w:val="00785491"/>
    <w:rsid w:val="007858C0"/>
    <w:rsid w:val="007863BB"/>
    <w:rsid w:val="0078665C"/>
    <w:rsid w:val="0078679A"/>
    <w:rsid w:val="00786E65"/>
    <w:rsid w:val="0078707F"/>
    <w:rsid w:val="0078731C"/>
    <w:rsid w:val="00787678"/>
    <w:rsid w:val="00787F23"/>
    <w:rsid w:val="007900CB"/>
    <w:rsid w:val="007904C9"/>
    <w:rsid w:val="00790739"/>
    <w:rsid w:val="00790DFB"/>
    <w:rsid w:val="00791B10"/>
    <w:rsid w:val="00791E8B"/>
    <w:rsid w:val="00792447"/>
    <w:rsid w:val="0079251D"/>
    <w:rsid w:val="00792659"/>
    <w:rsid w:val="00792679"/>
    <w:rsid w:val="0079270E"/>
    <w:rsid w:val="00792855"/>
    <w:rsid w:val="00793124"/>
    <w:rsid w:val="007942B3"/>
    <w:rsid w:val="00794390"/>
    <w:rsid w:val="0079439A"/>
    <w:rsid w:val="00794A05"/>
    <w:rsid w:val="007957F4"/>
    <w:rsid w:val="00795950"/>
    <w:rsid w:val="00795B64"/>
    <w:rsid w:val="0079656B"/>
    <w:rsid w:val="0079694C"/>
    <w:rsid w:val="00796DBD"/>
    <w:rsid w:val="00797E9D"/>
    <w:rsid w:val="00797FAD"/>
    <w:rsid w:val="007A0AF5"/>
    <w:rsid w:val="007A100B"/>
    <w:rsid w:val="007A354D"/>
    <w:rsid w:val="007A38D8"/>
    <w:rsid w:val="007A3A64"/>
    <w:rsid w:val="007A3DED"/>
    <w:rsid w:val="007A4C77"/>
    <w:rsid w:val="007A4DEC"/>
    <w:rsid w:val="007A4E17"/>
    <w:rsid w:val="007A520F"/>
    <w:rsid w:val="007A56E3"/>
    <w:rsid w:val="007A5961"/>
    <w:rsid w:val="007A5AC1"/>
    <w:rsid w:val="007A5AF4"/>
    <w:rsid w:val="007A641B"/>
    <w:rsid w:val="007A660D"/>
    <w:rsid w:val="007A68DC"/>
    <w:rsid w:val="007A6D0D"/>
    <w:rsid w:val="007A711B"/>
    <w:rsid w:val="007A7394"/>
    <w:rsid w:val="007A7EE5"/>
    <w:rsid w:val="007A7F6D"/>
    <w:rsid w:val="007B04A7"/>
    <w:rsid w:val="007B0522"/>
    <w:rsid w:val="007B0B2B"/>
    <w:rsid w:val="007B0B61"/>
    <w:rsid w:val="007B0FBD"/>
    <w:rsid w:val="007B172E"/>
    <w:rsid w:val="007B1BAF"/>
    <w:rsid w:val="007B1E34"/>
    <w:rsid w:val="007B2245"/>
    <w:rsid w:val="007B225A"/>
    <w:rsid w:val="007B2630"/>
    <w:rsid w:val="007B2896"/>
    <w:rsid w:val="007B2CDD"/>
    <w:rsid w:val="007B3154"/>
    <w:rsid w:val="007B35F7"/>
    <w:rsid w:val="007B3948"/>
    <w:rsid w:val="007B3B4C"/>
    <w:rsid w:val="007B41D6"/>
    <w:rsid w:val="007B4F72"/>
    <w:rsid w:val="007B5445"/>
    <w:rsid w:val="007B58DE"/>
    <w:rsid w:val="007B5955"/>
    <w:rsid w:val="007B5C63"/>
    <w:rsid w:val="007B6896"/>
    <w:rsid w:val="007B7764"/>
    <w:rsid w:val="007B79F5"/>
    <w:rsid w:val="007B7AC9"/>
    <w:rsid w:val="007B7BE9"/>
    <w:rsid w:val="007C0A01"/>
    <w:rsid w:val="007C0E04"/>
    <w:rsid w:val="007C123B"/>
    <w:rsid w:val="007C21F1"/>
    <w:rsid w:val="007C2474"/>
    <w:rsid w:val="007C24D7"/>
    <w:rsid w:val="007C2647"/>
    <w:rsid w:val="007C2827"/>
    <w:rsid w:val="007C2B1F"/>
    <w:rsid w:val="007C3224"/>
    <w:rsid w:val="007C348F"/>
    <w:rsid w:val="007C34E5"/>
    <w:rsid w:val="007C3813"/>
    <w:rsid w:val="007C3858"/>
    <w:rsid w:val="007C3A26"/>
    <w:rsid w:val="007C3E6A"/>
    <w:rsid w:val="007C41F0"/>
    <w:rsid w:val="007C42C0"/>
    <w:rsid w:val="007C4527"/>
    <w:rsid w:val="007C5029"/>
    <w:rsid w:val="007C543F"/>
    <w:rsid w:val="007C5EF9"/>
    <w:rsid w:val="007C6A99"/>
    <w:rsid w:val="007C6BE3"/>
    <w:rsid w:val="007C6DD2"/>
    <w:rsid w:val="007C6E85"/>
    <w:rsid w:val="007C70A7"/>
    <w:rsid w:val="007C73B0"/>
    <w:rsid w:val="007C74E5"/>
    <w:rsid w:val="007C76FB"/>
    <w:rsid w:val="007D024F"/>
    <w:rsid w:val="007D060B"/>
    <w:rsid w:val="007D0E43"/>
    <w:rsid w:val="007D13E7"/>
    <w:rsid w:val="007D1991"/>
    <w:rsid w:val="007D1A65"/>
    <w:rsid w:val="007D1E37"/>
    <w:rsid w:val="007D2037"/>
    <w:rsid w:val="007D2299"/>
    <w:rsid w:val="007D232F"/>
    <w:rsid w:val="007D2385"/>
    <w:rsid w:val="007D25D4"/>
    <w:rsid w:val="007D2E2D"/>
    <w:rsid w:val="007D2FF7"/>
    <w:rsid w:val="007D3D9D"/>
    <w:rsid w:val="007D4036"/>
    <w:rsid w:val="007D467A"/>
    <w:rsid w:val="007D48B3"/>
    <w:rsid w:val="007D563E"/>
    <w:rsid w:val="007D5B51"/>
    <w:rsid w:val="007D5FC1"/>
    <w:rsid w:val="007D6B00"/>
    <w:rsid w:val="007D715A"/>
    <w:rsid w:val="007D740C"/>
    <w:rsid w:val="007E0153"/>
    <w:rsid w:val="007E0E9E"/>
    <w:rsid w:val="007E1040"/>
    <w:rsid w:val="007E10A9"/>
    <w:rsid w:val="007E19DC"/>
    <w:rsid w:val="007E21FB"/>
    <w:rsid w:val="007E2347"/>
    <w:rsid w:val="007E26A8"/>
    <w:rsid w:val="007E329D"/>
    <w:rsid w:val="007E3621"/>
    <w:rsid w:val="007E39E7"/>
    <w:rsid w:val="007E3AD5"/>
    <w:rsid w:val="007E420B"/>
    <w:rsid w:val="007E422F"/>
    <w:rsid w:val="007E47D2"/>
    <w:rsid w:val="007E4932"/>
    <w:rsid w:val="007E49A1"/>
    <w:rsid w:val="007E49D4"/>
    <w:rsid w:val="007E4B8B"/>
    <w:rsid w:val="007E502C"/>
    <w:rsid w:val="007E5153"/>
    <w:rsid w:val="007E5565"/>
    <w:rsid w:val="007E5A74"/>
    <w:rsid w:val="007E5BD7"/>
    <w:rsid w:val="007E5F6C"/>
    <w:rsid w:val="007E6023"/>
    <w:rsid w:val="007E6312"/>
    <w:rsid w:val="007E728B"/>
    <w:rsid w:val="007E75F0"/>
    <w:rsid w:val="007E76A3"/>
    <w:rsid w:val="007E784A"/>
    <w:rsid w:val="007E7968"/>
    <w:rsid w:val="007F013A"/>
    <w:rsid w:val="007F067A"/>
    <w:rsid w:val="007F088F"/>
    <w:rsid w:val="007F0C68"/>
    <w:rsid w:val="007F1244"/>
    <w:rsid w:val="007F1FB0"/>
    <w:rsid w:val="007F2188"/>
    <w:rsid w:val="007F2D90"/>
    <w:rsid w:val="007F4211"/>
    <w:rsid w:val="007F4317"/>
    <w:rsid w:val="007F4F82"/>
    <w:rsid w:val="007F54DB"/>
    <w:rsid w:val="007F69DB"/>
    <w:rsid w:val="007F6A9A"/>
    <w:rsid w:val="007F6B93"/>
    <w:rsid w:val="007F6B9F"/>
    <w:rsid w:val="007F709F"/>
    <w:rsid w:val="007F73DA"/>
    <w:rsid w:val="007F78FA"/>
    <w:rsid w:val="008008F3"/>
    <w:rsid w:val="008013D6"/>
    <w:rsid w:val="008014FC"/>
    <w:rsid w:val="00801CA0"/>
    <w:rsid w:val="00801EEA"/>
    <w:rsid w:val="0080248D"/>
    <w:rsid w:val="00802493"/>
    <w:rsid w:val="00802785"/>
    <w:rsid w:val="00803014"/>
    <w:rsid w:val="008030B8"/>
    <w:rsid w:val="008039FE"/>
    <w:rsid w:val="00804653"/>
    <w:rsid w:val="00805D36"/>
    <w:rsid w:val="00806336"/>
    <w:rsid w:val="008066F8"/>
    <w:rsid w:val="00806A84"/>
    <w:rsid w:val="00806F66"/>
    <w:rsid w:val="008073D2"/>
    <w:rsid w:val="00807C6C"/>
    <w:rsid w:val="00811F8C"/>
    <w:rsid w:val="0081243E"/>
    <w:rsid w:val="00812B10"/>
    <w:rsid w:val="00813385"/>
    <w:rsid w:val="0081340B"/>
    <w:rsid w:val="008135E0"/>
    <w:rsid w:val="00813D52"/>
    <w:rsid w:val="00813DA5"/>
    <w:rsid w:val="00813E59"/>
    <w:rsid w:val="00814E63"/>
    <w:rsid w:val="0081628A"/>
    <w:rsid w:val="00816BD8"/>
    <w:rsid w:val="00816C39"/>
    <w:rsid w:val="00816E37"/>
    <w:rsid w:val="008175CC"/>
    <w:rsid w:val="00817BB4"/>
    <w:rsid w:val="00817E89"/>
    <w:rsid w:val="00817E9F"/>
    <w:rsid w:val="00821021"/>
    <w:rsid w:val="00821225"/>
    <w:rsid w:val="008214BB"/>
    <w:rsid w:val="00821609"/>
    <w:rsid w:val="00821B58"/>
    <w:rsid w:val="00821DCC"/>
    <w:rsid w:val="0082202C"/>
    <w:rsid w:val="00822117"/>
    <w:rsid w:val="008225E3"/>
    <w:rsid w:val="008227E4"/>
    <w:rsid w:val="00822D06"/>
    <w:rsid w:val="00822D4E"/>
    <w:rsid w:val="00823329"/>
    <w:rsid w:val="008236D8"/>
    <w:rsid w:val="00823B4E"/>
    <w:rsid w:val="00823C0D"/>
    <w:rsid w:val="00823CEC"/>
    <w:rsid w:val="00824594"/>
    <w:rsid w:val="0082460C"/>
    <w:rsid w:val="008249B0"/>
    <w:rsid w:val="00824A07"/>
    <w:rsid w:val="0082578E"/>
    <w:rsid w:val="00825BF1"/>
    <w:rsid w:val="008268A1"/>
    <w:rsid w:val="00826CD4"/>
    <w:rsid w:val="00826D8D"/>
    <w:rsid w:val="00826F17"/>
    <w:rsid w:val="00826F4C"/>
    <w:rsid w:val="00827183"/>
    <w:rsid w:val="0082722A"/>
    <w:rsid w:val="00827797"/>
    <w:rsid w:val="00827B01"/>
    <w:rsid w:val="0083135D"/>
    <w:rsid w:val="00832B12"/>
    <w:rsid w:val="00833014"/>
    <w:rsid w:val="00833970"/>
    <w:rsid w:val="008339B2"/>
    <w:rsid w:val="00833FBB"/>
    <w:rsid w:val="008346A8"/>
    <w:rsid w:val="00834B85"/>
    <w:rsid w:val="00834BCA"/>
    <w:rsid w:val="00834F10"/>
    <w:rsid w:val="008355E4"/>
    <w:rsid w:val="008356E1"/>
    <w:rsid w:val="00836005"/>
    <w:rsid w:val="00836A4D"/>
    <w:rsid w:val="00836F94"/>
    <w:rsid w:val="00837699"/>
    <w:rsid w:val="008377DA"/>
    <w:rsid w:val="00837E29"/>
    <w:rsid w:val="00837FEE"/>
    <w:rsid w:val="008409B9"/>
    <w:rsid w:val="00840AFF"/>
    <w:rsid w:val="00841FF7"/>
    <w:rsid w:val="00842A25"/>
    <w:rsid w:val="00843842"/>
    <w:rsid w:val="008448DD"/>
    <w:rsid w:val="00844D06"/>
    <w:rsid w:val="00844E27"/>
    <w:rsid w:val="00844EC9"/>
    <w:rsid w:val="00845811"/>
    <w:rsid w:val="00845A15"/>
    <w:rsid w:val="00845B51"/>
    <w:rsid w:val="0084632F"/>
    <w:rsid w:val="00847121"/>
    <w:rsid w:val="00847309"/>
    <w:rsid w:val="0084765F"/>
    <w:rsid w:val="00847C0D"/>
    <w:rsid w:val="00847DA7"/>
    <w:rsid w:val="00847EAB"/>
    <w:rsid w:val="00850498"/>
    <w:rsid w:val="00850B51"/>
    <w:rsid w:val="00850C0F"/>
    <w:rsid w:val="00850EF7"/>
    <w:rsid w:val="0085106A"/>
    <w:rsid w:val="008523B0"/>
    <w:rsid w:val="00852A1F"/>
    <w:rsid w:val="00853C37"/>
    <w:rsid w:val="00853F10"/>
    <w:rsid w:val="00853F6C"/>
    <w:rsid w:val="0085468B"/>
    <w:rsid w:val="00854EA0"/>
    <w:rsid w:val="008552DD"/>
    <w:rsid w:val="008552FC"/>
    <w:rsid w:val="00855423"/>
    <w:rsid w:val="00855B06"/>
    <w:rsid w:val="008561BB"/>
    <w:rsid w:val="008565AA"/>
    <w:rsid w:val="00856DDF"/>
    <w:rsid w:val="008574B0"/>
    <w:rsid w:val="008575F9"/>
    <w:rsid w:val="00857D29"/>
    <w:rsid w:val="00857E25"/>
    <w:rsid w:val="00860071"/>
    <w:rsid w:val="008609A4"/>
    <w:rsid w:val="00860A30"/>
    <w:rsid w:val="00861363"/>
    <w:rsid w:val="00862095"/>
    <w:rsid w:val="0086214C"/>
    <w:rsid w:val="00862646"/>
    <w:rsid w:val="008629A8"/>
    <w:rsid w:val="00863089"/>
    <w:rsid w:val="00863198"/>
    <w:rsid w:val="00863465"/>
    <w:rsid w:val="00863541"/>
    <w:rsid w:val="00863544"/>
    <w:rsid w:val="00863B3D"/>
    <w:rsid w:val="008640B5"/>
    <w:rsid w:val="00864C32"/>
    <w:rsid w:val="00864C9F"/>
    <w:rsid w:val="00864D55"/>
    <w:rsid w:val="00865199"/>
    <w:rsid w:val="00865F44"/>
    <w:rsid w:val="0086605D"/>
    <w:rsid w:val="00866572"/>
    <w:rsid w:val="008668D4"/>
    <w:rsid w:val="008679DC"/>
    <w:rsid w:val="00867C3D"/>
    <w:rsid w:val="008706AE"/>
    <w:rsid w:val="00870CB6"/>
    <w:rsid w:val="00871421"/>
    <w:rsid w:val="00871499"/>
    <w:rsid w:val="00872276"/>
    <w:rsid w:val="00872882"/>
    <w:rsid w:val="00873D3D"/>
    <w:rsid w:val="00873FEA"/>
    <w:rsid w:val="0087419B"/>
    <w:rsid w:val="008743DF"/>
    <w:rsid w:val="00874592"/>
    <w:rsid w:val="0087475F"/>
    <w:rsid w:val="0087483C"/>
    <w:rsid w:val="00875679"/>
    <w:rsid w:val="00875E1F"/>
    <w:rsid w:val="00875EEF"/>
    <w:rsid w:val="0087725B"/>
    <w:rsid w:val="00877527"/>
    <w:rsid w:val="008777A6"/>
    <w:rsid w:val="0088028E"/>
    <w:rsid w:val="008807EE"/>
    <w:rsid w:val="00880A96"/>
    <w:rsid w:val="008810EC"/>
    <w:rsid w:val="008818F6"/>
    <w:rsid w:val="00881FFE"/>
    <w:rsid w:val="00882989"/>
    <w:rsid w:val="00882EC4"/>
    <w:rsid w:val="00882F6D"/>
    <w:rsid w:val="00883059"/>
    <w:rsid w:val="0088398E"/>
    <w:rsid w:val="008844D7"/>
    <w:rsid w:val="008846F6"/>
    <w:rsid w:val="00884B9F"/>
    <w:rsid w:val="00885377"/>
    <w:rsid w:val="00885561"/>
    <w:rsid w:val="00885BEA"/>
    <w:rsid w:val="00885CE9"/>
    <w:rsid w:val="008864AD"/>
    <w:rsid w:val="00886AC5"/>
    <w:rsid w:val="00886B4C"/>
    <w:rsid w:val="00887705"/>
    <w:rsid w:val="00887AA0"/>
    <w:rsid w:val="00887E02"/>
    <w:rsid w:val="00890535"/>
    <w:rsid w:val="0089092B"/>
    <w:rsid w:val="008909F3"/>
    <w:rsid w:val="00890C99"/>
    <w:rsid w:val="0089194E"/>
    <w:rsid w:val="00891C19"/>
    <w:rsid w:val="00892580"/>
    <w:rsid w:val="00892ADF"/>
    <w:rsid w:val="00892D43"/>
    <w:rsid w:val="008933A7"/>
    <w:rsid w:val="00893479"/>
    <w:rsid w:val="0089373B"/>
    <w:rsid w:val="008937A1"/>
    <w:rsid w:val="00894A90"/>
    <w:rsid w:val="00894EAA"/>
    <w:rsid w:val="00894FC1"/>
    <w:rsid w:val="0089597F"/>
    <w:rsid w:val="008959A9"/>
    <w:rsid w:val="00896845"/>
    <w:rsid w:val="008977CD"/>
    <w:rsid w:val="00897E03"/>
    <w:rsid w:val="00897F77"/>
    <w:rsid w:val="008A017B"/>
    <w:rsid w:val="008A05E0"/>
    <w:rsid w:val="008A0B5A"/>
    <w:rsid w:val="008A1B8F"/>
    <w:rsid w:val="008A1C47"/>
    <w:rsid w:val="008A30D2"/>
    <w:rsid w:val="008A34BF"/>
    <w:rsid w:val="008A35E7"/>
    <w:rsid w:val="008A413C"/>
    <w:rsid w:val="008A44B6"/>
    <w:rsid w:val="008A4CBF"/>
    <w:rsid w:val="008A5290"/>
    <w:rsid w:val="008A5549"/>
    <w:rsid w:val="008A568C"/>
    <w:rsid w:val="008A593A"/>
    <w:rsid w:val="008A5A27"/>
    <w:rsid w:val="008A5CEE"/>
    <w:rsid w:val="008A6C5A"/>
    <w:rsid w:val="008B0061"/>
    <w:rsid w:val="008B08FB"/>
    <w:rsid w:val="008B0A8A"/>
    <w:rsid w:val="008B0EAD"/>
    <w:rsid w:val="008B1718"/>
    <w:rsid w:val="008B190C"/>
    <w:rsid w:val="008B1EF5"/>
    <w:rsid w:val="008B219A"/>
    <w:rsid w:val="008B2455"/>
    <w:rsid w:val="008B2537"/>
    <w:rsid w:val="008B29F6"/>
    <w:rsid w:val="008B2BA0"/>
    <w:rsid w:val="008B2DF3"/>
    <w:rsid w:val="008B2E4C"/>
    <w:rsid w:val="008B349C"/>
    <w:rsid w:val="008B376A"/>
    <w:rsid w:val="008B3AE4"/>
    <w:rsid w:val="008B3F57"/>
    <w:rsid w:val="008B4969"/>
    <w:rsid w:val="008B50E7"/>
    <w:rsid w:val="008B51CA"/>
    <w:rsid w:val="008B5660"/>
    <w:rsid w:val="008B7088"/>
    <w:rsid w:val="008B7220"/>
    <w:rsid w:val="008B7225"/>
    <w:rsid w:val="008B78D8"/>
    <w:rsid w:val="008C00CA"/>
    <w:rsid w:val="008C0237"/>
    <w:rsid w:val="008C031A"/>
    <w:rsid w:val="008C0824"/>
    <w:rsid w:val="008C08A5"/>
    <w:rsid w:val="008C1349"/>
    <w:rsid w:val="008C1DE1"/>
    <w:rsid w:val="008C1FC7"/>
    <w:rsid w:val="008C2354"/>
    <w:rsid w:val="008C31A3"/>
    <w:rsid w:val="008C347E"/>
    <w:rsid w:val="008C384A"/>
    <w:rsid w:val="008C44D9"/>
    <w:rsid w:val="008C479C"/>
    <w:rsid w:val="008C4A22"/>
    <w:rsid w:val="008C4E14"/>
    <w:rsid w:val="008C4EDA"/>
    <w:rsid w:val="008C4F75"/>
    <w:rsid w:val="008C5110"/>
    <w:rsid w:val="008C55A4"/>
    <w:rsid w:val="008C5C97"/>
    <w:rsid w:val="008C64E3"/>
    <w:rsid w:val="008C650F"/>
    <w:rsid w:val="008C725D"/>
    <w:rsid w:val="008C753F"/>
    <w:rsid w:val="008C7741"/>
    <w:rsid w:val="008C7883"/>
    <w:rsid w:val="008C7B5C"/>
    <w:rsid w:val="008D044B"/>
    <w:rsid w:val="008D0D1E"/>
    <w:rsid w:val="008D110C"/>
    <w:rsid w:val="008D1CCA"/>
    <w:rsid w:val="008D1E79"/>
    <w:rsid w:val="008D28AB"/>
    <w:rsid w:val="008D29A6"/>
    <w:rsid w:val="008D2CE5"/>
    <w:rsid w:val="008D345F"/>
    <w:rsid w:val="008D3735"/>
    <w:rsid w:val="008D42ED"/>
    <w:rsid w:val="008D49A4"/>
    <w:rsid w:val="008D4B1B"/>
    <w:rsid w:val="008D5605"/>
    <w:rsid w:val="008D5693"/>
    <w:rsid w:val="008D592A"/>
    <w:rsid w:val="008D7097"/>
    <w:rsid w:val="008D776F"/>
    <w:rsid w:val="008D7A19"/>
    <w:rsid w:val="008D7E13"/>
    <w:rsid w:val="008E006E"/>
    <w:rsid w:val="008E074A"/>
    <w:rsid w:val="008E1068"/>
    <w:rsid w:val="008E18A0"/>
    <w:rsid w:val="008E1E54"/>
    <w:rsid w:val="008E22DB"/>
    <w:rsid w:val="008E2AA2"/>
    <w:rsid w:val="008E2B53"/>
    <w:rsid w:val="008E3921"/>
    <w:rsid w:val="008E3B7C"/>
    <w:rsid w:val="008E3C41"/>
    <w:rsid w:val="008E3C88"/>
    <w:rsid w:val="008E44D2"/>
    <w:rsid w:val="008E4880"/>
    <w:rsid w:val="008E5643"/>
    <w:rsid w:val="008E78F2"/>
    <w:rsid w:val="008E792D"/>
    <w:rsid w:val="008E7A5C"/>
    <w:rsid w:val="008F0055"/>
    <w:rsid w:val="008F022C"/>
    <w:rsid w:val="008F089A"/>
    <w:rsid w:val="008F0B21"/>
    <w:rsid w:val="008F0E05"/>
    <w:rsid w:val="008F0E9C"/>
    <w:rsid w:val="008F12AE"/>
    <w:rsid w:val="008F12B1"/>
    <w:rsid w:val="008F141E"/>
    <w:rsid w:val="008F1F09"/>
    <w:rsid w:val="008F2838"/>
    <w:rsid w:val="008F55DF"/>
    <w:rsid w:val="008F5988"/>
    <w:rsid w:val="008F59FD"/>
    <w:rsid w:val="008F645D"/>
    <w:rsid w:val="008F6667"/>
    <w:rsid w:val="008F6794"/>
    <w:rsid w:val="008F777E"/>
    <w:rsid w:val="008F7853"/>
    <w:rsid w:val="008F7AA3"/>
    <w:rsid w:val="009003DE"/>
    <w:rsid w:val="009003EA"/>
    <w:rsid w:val="00900C7B"/>
    <w:rsid w:val="00900F6E"/>
    <w:rsid w:val="00901569"/>
    <w:rsid w:val="00902495"/>
    <w:rsid w:val="00902929"/>
    <w:rsid w:val="00902D84"/>
    <w:rsid w:val="00903488"/>
    <w:rsid w:val="009045C3"/>
    <w:rsid w:val="00904795"/>
    <w:rsid w:val="009049FD"/>
    <w:rsid w:val="00904AA8"/>
    <w:rsid w:val="00904FB5"/>
    <w:rsid w:val="00905021"/>
    <w:rsid w:val="00905D12"/>
    <w:rsid w:val="00906619"/>
    <w:rsid w:val="0090683D"/>
    <w:rsid w:val="00906E21"/>
    <w:rsid w:val="00906F35"/>
    <w:rsid w:val="0090727F"/>
    <w:rsid w:val="00907955"/>
    <w:rsid w:val="0090799A"/>
    <w:rsid w:val="00907B8B"/>
    <w:rsid w:val="00910A8A"/>
    <w:rsid w:val="0091270C"/>
    <w:rsid w:val="00912BDA"/>
    <w:rsid w:val="00912DE0"/>
    <w:rsid w:val="0091327E"/>
    <w:rsid w:val="00913421"/>
    <w:rsid w:val="009149A4"/>
    <w:rsid w:val="00915008"/>
    <w:rsid w:val="0091543A"/>
    <w:rsid w:val="00915B34"/>
    <w:rsid w:val="00916374"/>
    <w:rsid w:val="00916A15"/>
    <w:rsid w:val="00916E58"/>
    <w:rsid w:val="00916FE3"/>
    <w:rsid w:val="00917380"/>
    <w:rsid w:val="0091759B"/>
    <w:rsid w:val="00917887"/>
    <w:rsid w:val="00920702"/>
    <w:rsid w:val="009207DB"/>
    <w:rsid w:val="00921DE3"/>
    <w:rsid w:val="00922024"/>
    <w:rsid w:val="009224D6"/>
    <w:rsid w:val="0092281A"/>
    <w:rsid w:val="00922AF6"/>
    <w:rsid w:val="00922FE4"/>
    <w:rsid w:val="009243ED"/>
    <w:rsid w:val="009244A4"/>
    <w:rsid w:val="009246F6"/>
    <w:rsid w:val="00924BF3"/>
    <w:rsid w:val="00924E99"/>
    <w:rsid w:val="009254AC"/>
    <w:rsid w:val="00925501"/>
    <w:rsid w:val="0092551B"/>
    <w:rsid w:val="009256E0"/>
    <w:rsid w:val="009257F5"/>
    <w:rsid w:val="00925965"/>
    <w:rsid w:val="00925C4F"/>
    <w:rsid w:val="00925E32"/>
    <w:rsid w:val="00926301"/>
    <w:rsid w:val="00926982"/>
    <w:rsid w:val="00926BC8"/>
    <w:rsid w:val="00926BF2"/>
    <w:rsid w:val="009270C4"/>
    <w:rsid w:val="00927381"/>
    <w:rsid w:val="0093092A"/>
    <w:rsid w:val="00931828"/>
    <w:rsid w:val="00931B25"/>
    <w:rsid w:val="00931C34"/>
    <w:rsid w:val="00932196"/>
    <w:rsid w:val="0093226D"/>
    <w:rsid w:val="00932459"/>
    <w:rsid w:val="00932B16"/>
    <w:rsid w:val="00932FE6"/>
    <w:rsid w:val="00933275"/>
    <w:rsid w:val="0093412A"/>
    <w:rsid w:val="00934309"/>
    <w:rsid w:val="00934DF4"/>
    <w:rsid w:val="00934FA8"/>
    <w:rsid w:val="00936535"/>
    <w:rsid w:val="009366C1"/>
    <w:rsid w:val="00936DE8"/>
    <w:rsid w:val="0093740F"/>
    <w:rsid w:val="0093746D"/>
    <w:rsid w:val="00937B4A"/>
    <w:rsid w:val="00937C1D"/>
    <w:rsid w:val="00937FCE"/>
    <w:rsid w:val="009405AC"/>
    <w:rsid w:val="009405DB"/>
    <w:rsid w:val="00940F58"/>
    <w:rsid w:val="00940FC3"/>
    <w:rsid w:val="0094131D"/>
    <w:rsid w:val="0094175A"/>
    <w:rsid w:val="00941C49"/>
    <w:rsid w:val="00942120"/>
    <w:rsid w:val="00942316"/>
    <w:rsid w:val="009425F7"/>
    <w:rsid w:val="00942A91"/>
    <w:rsid w:val="00942F09"/>
    <w:rsid w:val="00942FE3"/>
    <w:rsid w:val="00943034"/>
    <w:rsid w:val="009437F6"/>
    <w:rsid w:val="00943821"/>
    <w:rsid w:val="00943DD5"/>
    <w:rsid w:val="00944079"/>
    <w:rsid w:val="00944637"/>
    <w:rsid w:val="00944BC7"/>
    <w:rsid w:val="00944BF0"/>
    <w:rsid w:val="00945072"/>
    <w:rsid w:val="009450E6"/>
    <w:rsid w:val="009453F7"/>
    <w:rsid w:val="00946136"/>
    <w:rsid w:val="00946208"/>
    <w:rsid w:val="009470E2"/>
    <w:rsid w:val="0094768B"/>
    <w:rsid w:val="00947B25"/>
    <w:rsid w:val="00947BA4"/>
    <w:rsid w:val="00950B62"/>
    <w:rsid w:val="00951121"/>
    <w:rsid w:val="009512F4"/>
    <w:rsid w:val="0095151E"/>
    <w:rsid w:val="00951756"/>
    <w:rsid w:val="00951A3E"/>
    <w:rsid w:val="00951FA8"/>
    <w:rsid w:val="0095348B"/>
    <w:rsid w:val="00953BB4"/>
    <w:rsid w:val="00953F9C"/>
    <w:rsid w:val="00954282"/>
    <w:rsid w:val="00954427"/>
    <w:rsid w:val="0095467D"/>
    <w:rsid w:val="00954E74"/>
    <w:rsid w:val="00955150"/>
    <w:rsid w:val="009555AB"/>
    <w:rsid w:val="009562BF"/>
    <w:rsid w:val="00956BBB"/>
    <w:rsid w:val="0095708A"/>
    <w:rsid w:val="00957A1B"/>
    <w:rsid w:val="00957A21"/>
    <w:rsid w:val="009607DA"/>
    <w:rsid w:val="00961505"/>
    <w:rsid w:val="00961694"/>
    <w:rsid w:val="009618F2"/>
    <w:rsid w:val="00961B3E"/>
    <w:rsid w:val="00961B41"/>
    <w:rsid w:val="0096323E"/>
    <w:rsid w:val="00963B1B"/>
    <w:rsid w:val="00963C3F"/>
    <w:rsid w:val="00964450"/>
    <w:rsid w:val="0096475C"/>
    <w:rsid w:val="00964924"/>
    <w:rsid w:val="009650AB"/>
    <w:rsid w:val="00965161"/>
    <w:rsid w:val="00965401"/>
    <w:rsid w:val="00965E37"/>
    <w:rsid w:val="00965F51"/>
    <w:rsid w:val="00966D92"/>
    <w:rsid w:val="009675F9"/>
    <w:rsid w:val="009676CE"/>
    <w:rsid w:val="0096797D"/>
    <w:rsid w:val="00967C2F"/>
    <w:rsid w:val="009710C3"/>
    <w:rsid w:val="009713DD"/>
    <w:rsid w:val="00971C53"/>
    <w:rsid w:val="009725F2"/>
    <w:rsid w:val="00972DC6"/>
    <w:rsid w:val="00972F2E"/>
    <w:rsid w:val="0097311D"/>
    <w:rsid w:val="00973179"/>
    <w:rsid w:val="00973225"/>
    <w:rsid w:val="00974795"/>
    <w:rsid w:val="00975105"/>
    <w:rsid w:val="00975C75"/>
    <w:rsid w:val="009761BB"/>
    <w:rsid w:val="00976390"/>
    <w:rsid w:val="00976582"/>
    <w:rsid w:val="0097766C"/>
    <w:rsid w:val="00977C31"/>
    <w:rsid w:val="0098177A"/>
    <w:rsid w:val="00983300"/>
    <w:rsid w:val="009833A5"/>
    <w:rsid w:val="00983EFD"/>
    <w:rsid w:val="00984868"/>
    <w:rsid w:val="00984A8A"/>
    <w:rsid w:val="0098508F"/>
    <w:rsid w:val="0098518F"/>
    <w:rsid w:val="0098600A"/>
    <w:rsid w:val="009860C0"/>
    <w:rsid w:val="00986257"/>
    <w:rsid w:val="0098643B"/>
    <w:rsid w:val="00986861"/>
    <w:rsid w:val="009868C9"/>
    <w:rsid w:val="00986EA3"/>
    <w:rsid w:val="00987362"/>
    <w:rsid w:val="0098780E"/>
    <w:rsid w:val="00987BF5"/>
    <w:rsid w:val="00987CBC"/>
    <w:rsid w:val="00987FE7"/>
    <w:rsid w:val="009900C1"/>
    <w:rsid w:val="00990519"/>
    <w:rsid w:val="00990904"/>
    <w:rsid w:val="009917E6"/>
    <w:rsid w:val="00992022"/>
    <w:rsid w:val="009924B9"/>
    <w:rsid w:val="009924BC"/>
    <w:rsid w:val="009925AC"/>
    <w:rsid w:val="00992935"/>
    <w:rsid w:val="00992E3D"/>
    <w:rsid w:val="00992E90"/>
    <w:rsid w:val="0099301E"/>
    <w:rsid w:val="009933F1"/>
    <w:rsid w:val="009936DB"/>
    <w:rsid w:val="00993F29"/>
    <w:rsid w:val="00993FFC"/>
    <w:rsid w:val="009943CA"/>
    <w:rsid w:val="00994EA1"/>
    <w:rsid w:val="00995141"/>
    <w:rsid w:val="0099589D"/>
    <w:rsid w:val="00995F2F"/>
    <w:rsid w:val="009961D6"/>
    <w:rsid w:val="00996326"/>
    <w:rsid w:val="00996349"/>
    <w:rsid w:val="00996415"/>
    <w:rsid w:val="00996546"/>
    <w:rsid w:val="009966A8"/>
    <w:rsid w:val="00996D9C"/>
    <w:rsid w:val="0099723F"/>
    <w:rsid w:val="009978A9"/>
    <w:rsid w:val="00997943"/>
    <w:rsid w:val="009A144D"/>
    <w:rsid w:val="009A1B8E"/>
    <w:rsid w:val="009A1CD8"/>
    <w:rsid w:val="009A1D1A"/>
    <w:rsid w:val="009A23C2"/>
    <w:rsid w:val="009A2838"/>
    <w:rsid w:val="009A2EFF"/>
    <w:rsid w:val="009A2FDF"/>
    <w:rsid w:val="009A3253"/>
    <w:rsid w:val="009A327E"/>
    <w:rsid w:val="009A3567"/>
    <w:rsid w:val="009A3CF8"/>
    <w:rsid w:val="009A44E8"/>
    <w:rsid w:val="009A4654"/>
    <w:rsid w:val="009A4A0D"/>
    <w:rsid w:val="009A4F69"/>
    <w:rsid w:val="009A5302"/>
    <w:rsid w:val="009A545D"/>
    <w:rsid w:val="009A550E"/>
    <w:rsid w:val="009A5F6E"/>
    <w:rsid w:val="009A602D"/>
    <w:rsid w:val="009A61FF"/>
    <w:rsid w:val="009A74CB"/>
    <w:rsid w:val="009A775A"/>
    <w:rsid w:val="009A7A01"/>
    <w:rsid w:val="009A7C99"/>
    <w:rsid w:val="009B1086"/>
    <w:rsid w:val="009B1DA5"/>
    <w:rsid w:val="009B2213"/>
    <w:rsid w:val="009B2453"/>
    <w:rsid w:val="009B2644"/>
    <w:rsid w:val="009B28FD"/>
    <w:rsid w:val="009B2AD6"/>
    <w:rsid w:val="009B2B64"/>
    <w:rsid w:val="009B34B9"/>
    <w:rsid w:val="009B35D6"/>
    <w:rsid w:val="009B4BDC"/>
    <w:rsid w:val="009B5275"/>
    <w:rsid w:val="009B5594"/>
    <w:rsid w:val="009B57DF"/>
    <w:rsid w:val="009B5990"/>
    <w:rsid w:val="009B5A37"/>
    <w:rsid w:val="009B6792"/>
    <w:rsid w:val="009B7144"/>
    <w:rsid w:val="009B729E"/>
    <w:rsid w:val="009B7498"/>
    <w:rsid w:val="009B74A2"/>
    <w:rsid w:val="009B74BB"/>
    <w:rsid w:val="009B7803"/>
    <w:rsid w:val="009B7964"/>
    <w:rsid w:val="009B7ED4"/>
    <w:rsid w:val="009C067A"/>
    <w:rsid w:val="009C0CB4"/>
    <w:rsid w:val="009C104A"/>
    <w:rsid w:val="009C178B"/>
    <w:rsid w:val="009C17E8"/>
    <w:rsid w:val="009C1C9A"/>
    <w:rsid w:val="009C221F"/>
    <w:rsid w:val="009C27F8"/>
    <w:rsid w:val="009C28CD"/>
    <w:rsid w:val="009C2A0D"/>
    <w:rsid w:val="009C34CB"/>
    <w:rsid w:val="009C3BFC"/>
    <w:rsid w:val="009C3D84"/>
    <w:rsid w:val="009C411A"/>
    <w:rsid w:val="009C4228"/>
    <w:rsid w:val="009C42B4"/>
    <w:rsid w:val="009C443A"/>
    <w:rsid w:val="009C469D"/>
    <w:rsid w:val="009C50B7"/>
    <w:rsid w:val="009C5181"/>
    <w:rsid w:val="009C51B3"/>
    <w:rsid w:val="009C5923"/>
    <w:rsid w:val="009C5F5C"/>
    <w:rsid w:val="009C6697"/>
    <w:rsid w:val="009C6981"/>
    <w:rsid w:val="009C71B8"/>
    <w:rsid w:val="009C7773"/>
    <w:rsid w:val="009C7A50"/>
    <w:rsid w:val="009C7B1D"/>
    <w:rsid w:val="009D03F1"/>
    <w:rsid w:val="009D1CF4"/>
    <w:rsid w:val="009D2E2B"/>
    <w:rsid w:val="009D3528"/>
    <w:rsid w:val="009D380F"/>
    <w:rsid w:val="009D402B"/>
    <w:rsid w:val="009D49AF"/>
    <w:rsid w:val="009D5001"/>
    <w:rsid w:val="009D5382"/>
    <w:rsid w:val="009D57A7"/>
    <w:rsid w:val="009D5A1E"/>
    <w:rsid w:val="009D5F12"/>
    <w:rsid w:val="009D67A4"/>
    <w:rsid w:val="009E0410"/>
    <w:rsid w:val="009E0BFF"/>
    <w:rsid w:val="009E1607"/>
    <w:rsid w:val="009E21EA"/>
    <w:rsid w:val="009E276E"/>
    <w:rsid w:val="009E2E06"/>
    <w:rsid w:val="009E318C"/>
    <w:rsid w:val="009E33D1"/>
    <w:rsid w:val="009E3E4E"/>
    <w:rsid w:val="009E4D8B"/>
    <w:rsid w:val="009E52D3"/>
    <w:rsid w:val="009E6A55"/>
    <w:rsid w:val="009E6DD0"/>
    <w:rsid w:val="009E6F39"/>
    <w:rsid w:val="009E6F5C"/>
    <w:rsid w:val="009E7562"/>
    <w:rsid w:val="009E7E04"/>
    <w:rsid w:val="009F0861"/>
    <w:rsid w:val="009F0BD5"/>
    <w:rsid w:val="009F0BD9"/>
    <w:rsid w:val="009F1A0A"/>
    <w:rsid w:val="009F2803"/>
    <w:rsid w:val="009F293D"/>
    <w:rsid w:val="009F2BA2"/>
    <w:rsid w:val="009F3124"/>
    <w:rsid w:val="009F31A9"/>
    <w:rsid w:val="009F3332"/>
    <w:rsid w:val="009F33FA"/>
    <w:rsid w:val="009F344F"/>
    <w:rsid w:val="009F3645"/>
    <w:rsid w:val="009F3793"/>
    <w:rsid w:val="009F4283"/>
    <w:rsid w:val="009F42F3"/>
    <w:rsid w:val="009F4C2B"/>
    <w:rsid w:val="009F4FED"/>
    <w:rsid w:val="009F5105"/>
    <w:rsid w:val="009F5259"/>
    <w:rsid w:val="009F5542"/>
    <w:rsid w:val="009F61DE"/>
    <w:rsid w:val="009F6223"/>
    <w:rsid w:val="009F6378"/>
    <w:rsid w:val="009F6769"/>
    <w:rsid w:val="009F6903"/>
    <w:rsid w:val="009F6B78"/>
    <w:rsid w:val="009F6CA4"/>
    <w:rsid w:val="009F7107"/>
    <w:rsid w:val="009F7CA8"/>
    <w:rsid w:val="00A002F3"/>
    <w:rsid w:val="00A00657"/>
    <w:rsid w:val="00A006BD"/>
    <w:rsid w:val="00A006E1"/>
    <w:rsid w:val="00A00824"/>
    <w:rsid w:val="00A009AC"/>
    <w:rsid w:val="00A00D50"/>
    <w:rsid w:val="00A00DAC"/>
    <w:rsid w:val="00A00DC0"/>
    <w:rsid w:val="00A01149"/>
    <w:rsid w:val="00A01359"/>
    <w:rsid w:val="00A01C1F"/>
    <w:rsid w:val="00A01C86"/>
    <w:rsid w:val="00A01C98"/>
    <w:rsid w:val="00A01D1F"/>
    <w:rsid w:val="00A0267B"/>
    <w:rsid w:val="00A02A9F"/>
    <w:rsid w:val="00A02CE8"/>
    <w:rsid w:val="00A02EE0"/>
    <w:rsid w:val="00A035F2"/>
    <w:rsid w:val="00A03C90"/>
    <w:rsid w:val="00A042C9"/>
    <w:rsid w:val="00A04C41"/>
    <w:rsid w:val="00A051FC"/>
    <w:rsid w:val="00A05A92"/>
    <w:rsid w:val="00A05ACF"/>
    <w:rsid w:val="00A05D66"/>
    <w:rsid w:val="00A060F0"/>
    <w:rsid w:val="00A0624F"/>
    <w:rsid w:val="00A06A54"/>
    <w:rsid w:val="00A06E22"/>
    <w:rsid w:val="00A06EFA"/>
    <w:rsid w:val="00A073F8"/>
    <w:rsid w:val="00A07483"/>
    <w:rsid w:val="00A10423"/>
    <w:rsid w:val="00A10D02"/>
    <w:rsid w:val="00A10D96"/>
    <w:rsid w:val="00A113C7"/>
    <w:rsid w:val="00A1238B"/>
    <w:rsid w:val="00A1260D"/>
    <w:rsid w:val="00A12DEF"/>
    <w:rsid w:val="00A137EE"/>
    <w:rsid w:val="00A13C1F"/>
    <w:rsid w:val="00A14AA2"/>
    <w:rsid w:val="00A1548E"/>
    <w:rsid w:val="00A15A52"/>
    <w:rsid w:val="00A15E3B"/>
    <w:rsid w:val="00A1614F"/>
    <w:rsid w:val="00A169F7"/>
    <w:rsid w:val="00A16AE9"/>
    <w:rsid w:val="00A171E1"/>
    <w:rsid w:val="00A172FD"/>
    <w:rsid w:val="00A177C1"/>
    <w:rsid w:val="00A17C24"/>
    <w:rsid w:val="00A17CFF"/>
    <w:rsid w:val="00A20681"/>
    <w:rsid w:val="00A20A26"/>
    <w:rsid w:val="00A218FE"/>
    <w:rsid w:val="00A2193D"/>
    <w:rsid w:val="00A21F85"/>
    <w:rsid w:val="00A22536"/>
    <w:rsid w:val="00A22B5E"/>
    <w:rsid w:val="00A22C5D"/>
    <w:rsid w:val="00A22E1E"/>
    <w:rsid w:val="00A22F1E"/>
    <w:rsid w:val="00A2323D"/>
    <w:rsid w:val="00A240AC"/>
    <w:rsid w:val="00A240FF"/>
    <w:rsid w:val="00A24137"/>
    <w:rsid w:val="00A24201"/>
    <w:rsid w:val="00A246C9"/>
    <w:rsid w:val="00A266C7"/>
    <w:rsid w:val="00A26C96"/>
    <w:rsid w:val="00A2732C"/>
    <w:rsid w:val="00A277C7"/>
    <w:rsid w:val="00A2788A"/>
    <w:rsid w:val="00A27A71"/>
    <w:rsid w:val="00A30F05"/>
    <w:rsid w:val="00A311A8"/>
    <w:rsid w:val="00A31CC5"/>
    <w:rsid w:val="00A31DF9"/>
    <w:rsid w:val="00A32078"/>
    <w:rsid w:val="00A321BC"/>
    <w:rsid w:val="00A32211"/>
    <w:rsid w:val="00A32462"/>
    <w:rsid w:val="00A32D14"/>
    <w:rsid w:val="00A33876"/>
    <w:rsid w:val="00A33D3A"/>
    <w:rsid w:val="00A34114"/>
    <w:rsid w:val="00A34B29"/>
    <w:rsid w:val="00A34BEA"/>
    <w:rsid w:val="00A34C81"/>
    <w:rsid w:val="00A34E19"/>
    <w:rsid w:val="00A3539B"/>
    <w:rsid w:val="00A353D8"/>
    <w:rsid w:val="00A35B31"/>
    <w:rsid w:val="00A3664B"/>
    <w:rsid w:val="00A36784"/>
    <w:rsid w:val="00A36B1F"/>
    <w:rsid w:val="00A36B46"/>
    <w:rsid w:val="00A36BD5"/>
    <w:rsid w:val="00A374B1"/>
    <w:rsid w:val="00A376E8"/>
    <w:rsid w:val="00A401BF"/>
    <w:rsid w:val="00A40906"/>
    <w:rsid w:val="00A40D0C"/>
    <w:rsid w:val="00A41302"/>
    <w:rsid w:val="00A415E2"/>
    <w:rsid w:val="00A41C59"/>
    <w:rsid w:val="00A41C63"/>
    <w:rsid w:val="00A420F4"/>
    <w:rsid w:val="00A42130"/>
    <w:rsid w:val="00A421C0"/>
    <w:rsid w:val="00A4271D"/>
    <w:rsid w:val="00A42B94"/>
    <w:rsid w:val="00A43021"/>
    <w:rsid w:val="00A43278"/>
    <w:rsid w:val="00A434CC"/>
    <w:rsid w:val="00A436A6"/>
    <w:rsid w:val="00A43B03"/>
    <w:rsid w:val="00A43B57"/>
    <w:rsid w:val="00A43CF2"/>
    <w:rsid w:val="00A44AC0"/>
    <w:rsid w:val="00A44B87"/>
    <w:rsid w:val="00A463EB"/>
    <w:rsid w:val="00A464A2"/>
    <w:rsid w:val="00A466BC"/>
    <w:rsid w:val="00A467BB"/>
    <w:rsid w:val="00A469C6"/>
    <w:rsid w:val="00A47029"/>
    <w:rsid w:val="00A47341"/>
    <w:rsid w:val="00A47611"/>
    <w:rsid w:val="00A50115"/>
    <w:rsid w:val="00A50299"/>
    <w:rsid w:val="00A503CF"/>
    <w:rsid w:val="00A50F4B"/>
    <w:rsid w:val="00A510C2"/>
    <w:rsid w:val="00A51B72"/>
    <w:rsid w:val="00A51D1A"/>
    <w:rsid w:val="00A51D94"/>
    <w:rsid w:val="00A52100"/>
    <w:rsid w:val="00A52885"/>
    <w:rsid w:val="00A53048"/>
    <w:rsid w:val="00A536D5"/>
    <w:rsid w:val="00A53FCE"/>
    <w:rsid w:val="00A54196"/>
    <w:rsid w:val="00A5425D"/>
    <w:rsid w:val="00A543C4"/>
    <w:rsid w:val="00A5510E"/>
    <w:rsid w:val="00A5582D"/>
    <w:rsid w:val="00A559F4"/>
    <w:rsid w:val="00A56547"/>
    <w:rsid w:val="00A56BBE"/>
    <w:rsid w:val="00A56D12"/>
    <w:rsid w:val="00A570E0"/>
    <w:rsid w:val="00A57343"/>
    <w:rsid w:val="00A57566"/>
    <w:rsid w:val="00A57889"/>
    <w:rsid w:val="00A606A0"/>
    <w:rsid w:val="00A60AEA"/>
    <w:rsid w:val="00A60E0C"/>
    <w:rsid w:val="00A61263"/>
    <w:rsid w:val="00A61265"/>
    <w:rsid w:val="00A614AD"/>
    <w:rsid w:val="00A61886"/>
    <w:rsid w:val="00A61A5D"/>
    <w:rsid w:val="00A61C42"/>
    <w:rsid w:val="00A622D3"/>
    <w:rsid w:val="00A623F2"/>
    <w:rsid w:val="00A62F88"/>
    <w:rsid w:val="00A63706"/>
    <w:rsid w:val="00A63D89"/>
    <w:rsid w:val="00A63DB5"/>
    <w:rsid w:val="00A650DB"/>
    <w:rsid w:val="00A65406"/>
    <w:rsid w:val="00A65865"/>
    <w:rsid w:val="00A65E52"/>
    <w:rsid w:val="00A666B3"/>
    <w:rsid w:val="00A66B2E"/>
    <w:rsid w:val="00A66E04"/>
    <w:rsid w:val="00A671B3"/>
    <w:rsid w:val="00A67706"/>
    <w:rsid w:val="00A6775B"/>
    <w:rsid w:val="00A67E84"/>
    <w:rsid w:val="00A67F13"/>
    <w:rsid w:val="00A71181"/>
    <w:rsid w:val="00A7240C"/>
    <w:rsid w:val="00A7290C"/>
    <w:rsid w:val="00A72ADA"/>
    <w:rsid w:val="00A7305E"/>
    <w:rsid w:val="00A733CD"/>
    <w:rsid w:val="00A73642"/>
    <w:rsid w:val="00A73647"/>
    <w:rsid w:val="00A73915"/>
    <w:rsid w:val="00A740A9"/>
    <w:rsid w:val="00A740DC"/>
    <w:rsid w:val="00A74C0B"/>
    <w:rsid w:val="00A75085"/>
    <w:rsid w:val="00A753C1"/>
    <w:rsid w:val="00A7543C"/>
    <w:rsid w:val="00A7588B"/>
    <w:rsid w:val="00A75B19"/>
    <w:rsid w:val="00A76063"/>
    <w:rsid w:val="00A7661A"/>
    <w:rsid w:val="00A767A1"/>
    <w:rsid w:val="00A771BF"/>
    <w:rsid w:val="00A77A3F"/>
    <w:rsid w:val="00A801BC"/>
    <w:rsid w:val="00A80337"/>
    <w:rsid w:val="00A80822"/>
    <w:rsid w:val="00A80B84"/>
    <w:rsid w:val="00A80D67"/>
    <w:rsid w:val="00A81373"/>
    <w:rsid w:val="00A81953"/>
    <w:rsid w:val="00A823AB"/>
    <w:rsid w:val="00A8281D"/>
    <w:rsid w:val="00A82C6D"/>
    <w:rsid w:val="00A835EF"/>
    <w:rsid w:val="00A8375D"/>
    <w:rsid w:val="00A84155"/>
    <w:rsid w:val="00A84AE2"/>
    <w:rsid w:val="00A84AEB"/>
    <w:rsid w:val="00A850E3"/>
    <w:rsid w:val="00A861F3"/>
    <w:rsid w:val="00A86C21"/>
    <w:rsid w:val="00A86F1A"/>
    <w:rsid w:val="00A87A3E"/>
    <w:rsid w:val="00A87B18"/>
    <w:rsid w:val="00A90B1F"/>
    <w:rsid w:val="00A90B37"/>
    <w:rsid w:val="00A90B68"/>
    <w:rsid w:val="00A90DB1"/>
    <w:rsid w:val="00A90DCE"/>
    <w:rsid w:val="00A910CC"/>
    <w:rsid w:val="00A9147B"/>
    <w:rsid w:val="00A91803"/>
    <w:rsid w:val="00A91BA8"/>
    <w:rsid w:val="00A91DB9"/>
    <w:rsid w:val="00A91EF1"/>
    <w:rsid w:val="00A91EF2"/>
    <w:rsid w:val="00A91EF4"/>
    <w:rsid w:val="00A92331"/>
    <w:rsid w:val="00A92E10"/>
    <w:rsid w:val="00A9325C"/>
    <w:rsid w:val="00A9390E"/>
    <w:rsid w:val="00A93B3D"/>
    <w:rsid w:val="00A93C4A"/>
    <w:rsid w:val="00A94171"/>
    <w:rsid w:val="00A94FD5"/>
    <w:rsid w:val="00A95055"/>
    <w:rsid w:val="00A95559"/>
    <w:rsid w:val="00A95F9F"/>
    <w:rsid w:val="00A95FC9"/>
    <w:rsid w:val="00A9663B"/>
    <w:rsid w:val="00A969BE"/>
    <w:rsid w:val="00A96CAB"/>
    <w:rsid w:val="00A96FC6"/>
    <w:rsid w:val="00A97B61"/>
    <w:rsid w:val="00AA01DA"/>
    <w:rsid w:val="00AA046E"/>
    <w:rsid w:val="00AA0F42"/>
    <w:rsid w:val="00AA115C"/>
    <w:rsid w:val="00AA1211"/>
    <w:rsid w:val="00AA1579"/>
    <w:rsid w:val="00AA16FD"/>
    <w:rsid w:val="00AA2101"/>
    <w:rsid w:val="00AA2E76"/>
    <w:rsid w:val="00AA37D3"/>
    <w:rsid w:val="00AA41E9"/>
    <w:rsid w:val="00AA4482"/>
    <w:rsid w:val="00AA450C"/>
    <w:rsid w:val="00AA4AE0"/>
    <w:rsid w:val="00AA4D73"/>
    <w:rsid w:val="00AA5139"/>
    <w:rsid w:val="00AA5265"/>
    <w:rsid w:val="00AA6094"/>
    <w:rsid w:val="00AA652E"/>
    <w:rsid w:val="00AA6884"/>
    <w:rsid w:val="00AA6E6E"/>
    <w:rsid w:val="00AA6E71"/>
    <w:rsid w:val="00AA70F2"/>
    <w:rsid w:val="00AA7247"/>
    <w:rsid w:val="00AA7437"/>
    <w:rsid w:val="00AA7838"/>
    <w:rsid w:val="00AA7A5E"/>
    <w:rsid w:val="00AB0229"/>
    <w:rsid w:val="00AB0879"/>
    <w:rsid w:val="00AB0A3E"/>
    <w:rsid w:val="00AB0AA6"/>
    <w:rsid w:val="00AB0E99"/>
    <w:rsid w:val="00AB0F03"/>
    <w:rsid w:val="00AB1287"/>
    <w:rsid w:val="00AB1CD5"/>
    <w:rsid w:val="00AB1CE8"/>
    <w:rsid w:val="00AB1FC9"/>
    <w:rsid w:val="00AB26DE"/>
    <w:rsid w:val="00AB2F20"/>
    <w:rsid w:val="00AB3063"/>
    <w:rsid w:val="00AB3420"/>
    <w:rsid w:val="00AB3F7B"/>
    <w:rsid w:val="00AB4419"/>
    <w:rsid w:val="00AB4AD8"/>
    <w:rsid w:val="00AB4DEA"/>
    <w:rsid w:val="00AB4E35"/>
    <w:rsid w:val="00AB5597"/>
    <w:rsid w:val="00AB596B"/>
    <w:rsid w:val="00AB6DFC"/>
    <w:rsid w:val="00AB7A79"/>
    <w:rsid w:val="00AC09CD"/>
    <w:rsid w:val="00AC1666"/>
    <w:rsid w:val="00AC1ABC"/>
    <w:rsid w:val="00AC20EE"/>
    <w:rsid w:val="00AC2832"/>
    <w:rsid w:val="00AC3DB7"/>
    <w:rsid w:val="00AC400E"/>
    <w:rsid w:val="00AC4293"/>
    <w:rsid w:val="00AC4960"/>
    <w:rsid w:val="00AC4E38"/>
    <w:rsid w:val="00AC561A"/>
    <w:rsid w:val="00AC570E"/>
    <w:rsid w:val="00AC57D2"/>
    <w:rsid w:val="00AC5BDE"/>
    <w:rsid w:val="00AC658F"/>
    <w:rsid w:val="00AC6A23"/>
    <w:rsid w:val="00AC7806"/>
    <w:rsid w:val="00AC7899"/>
    <w:rsid w:val="00AC7F42"/>
    <w:rsid w:val="00AD0289"/>
    <w:rsid w:val="00AD0B96"/>
    <w:rsid w:val="00AD0FEF"/>
    <w:rsid w:val="00AD1A5F"/>
    <w:rsid w:val="00AD21EB"/>
    <w:rsid w:val="00AD2762"/>
    <w:rsid w:val="00AD27FC"/>
    <w:rsid w:val="00AD2ACE"/>
    <w:rsid w:val="00AD2EFE"/>
    <w:rsid w:val="00AD3FA7"/>
    <w:rsid w:val="00AD48BB"/>
    <w:rsid w:val="00AD49D0"/>
    <w:rsid w:val="00AD4B09"/>
    <w:rsid w:val="00AD4EF7"/>
    <w:rsid w:val="00AD4FA3"/>
    <w:rsid w:val="00AD50AD"/>
    <w:rsid w:val="00AD514D"/>
    <w:rsid w:val="00AD516C"/>
    <w:rsid w:val="00AD5D7E"/>
    <w:rsid w:val="00AD5DEF"/>
    <w:rsid w:val="00AD5FD1"/>
    <w:rsid w:val="00AD6407"/>
    <w:rsid w:val="00AD752F"/>
    <w:rsid w:val="00AE00CA"/>
    <w:rsid w:val="00AE1AE1"/>
    <w:rsid w:val="00AE254F"/>
    <w:rsid w:val="00AE260E"/>
    <w:rsid w:val="00AE2C77"/>
    <w:rsid w:val="00AE2D01"/>
    <w:rsid w:val="00AE33C4"/>
    <w:rsid w:val="00AE415F"/>
    <w:rsid w:val="00AE4E21"/>
    <w:rsid w:val="00AE5121"/>
    <w:rsid w:val="00AE55BC"/>
    <w:rsid w:val="00AE56C7"/>
    <w:rsid w:val="00AE57D2"/>
    <w:rsid w:val="00AE638D"/>
    <w:rsid w:val="00AE6611"/>
    <w:rsid w:val="00AE686D"/>
    <w:rsid w:val="00AE6B27"/>
    <w:rsid w:val="00AE6D6A"/>
    <w:rsid w:val="00AE6F0F"/>
    <w:rsid w:val="00AF00D2"/>
    <w:rsid w:val="00AF0B16"/>
    <w:rsid w:val="00AF0F96"/>
    <w:rsid w:val="00AF1520"/>
    <w:rsid w:val="00AF21D7"/>
    <w:rsid w:val="00AF222F"/>
    <w:rsid w:val="00AF2893"/>
    <w:rsid w:val="00AF28EB"/>
    <w:rsid w:val="00AF2ED6"/>
    <w:rsid w:val="00AF3178"/>
    <w:rsid w:val="00AF3487"/>
    <w:rsid w:val="00AF36B6"/>
    <w:rsid w:val="00AF3C6C"/>
    <w:rsid w:val="00AF3E29"/>
    <w:rsid w:val="00AF49AE"/>
    <w:rsid w:val="00AF4E1B"/>
    <w:rsid w:val="00AF508B"/>
    <w:rsid w:val="00AF5407"/>
    <w:rsid w:val="00AF584E"/>
    <w:rsid w:val="00AF5AC5"/>
    <w:rsid w:val="00AF5D56"/>
    <w:rsid w:val="00AF6595"/>
    <w:rsid w:val="00AF6CE0"/>
    <w:rsid w:val="00AF7444"/>
    <w:rsid w:val="00B00D08"/>
    <w:rsid w:val="00B00ED5"/>
    <w:rsid w:val="00B00F15"/>
    <w:rsid w:val="00B017EA"/>
    <w:rsid w:val="00B019E1"/>
    <w:rsid w:val="00B022CF"/>
    <w:rsid w:val="00B02808"/>
    <w:rsid w:val="00B028BC"/>
    <w:rsid w:val="00B02936"/>
    <w:rsid w:val="00B02B99"/>
    <w:rsid w:val="00B02BF0"/>
    <w:rsid w:val="00B02EEE"/>
    <w:rsid w:val="00B037DC"/>
    <w:rsid w:val="00B03AB4"/>
    <w:rsid w:val="00B04307"/>
    <w:rsid w:val="00B04492"/>
    <w:rsid w:val="00B04580"/>
    <w:rsid w:val="00B0459A"/>
    <w:rsid w:val="00B0464A"/>
    <w:rsid w:val="00B047DE"/>
    <w:rsid w:val="00B04972"/>
    <w:rsid w:val="00B04BED"/>
    <w:rsid w:val="00B05B34"/>
    <w:rsid w:val="00B05B91"/>
    <w:rsid w:val="00B05FE5"/>
    <w:rsid w:val="00B0613A"/>
    <w:rsid w:val="00B062A6"/>
    <w:rsid w:val="00B06613"/>
    <w:rsid w:val="00B0689A"/>
    <w:rsid w:val="00B069BA"/>
    <w:rsid w:val="00B06DD5"/>
    <w:rsid w:val="00B07297"/>
    <w:rsid w:val="00B077CC"/>
    <w:rsid w:val="00B07CD8"/>
    <w:rsid w:val="00B10346"/>
    <w:rsid w:val="00B10762"/>
    <w:rsid w:val="00B10B90"/>
    <w:rsid w:val="00B10CD7"/>
    <w:rsid w:val="00B11197"/>
    <w:rsid w:val="00B119A6"/>
    <w:rsid w:val="00B11D78"/>
    <w:rsid w:val="00B11F38"/>
    <w:rsid w:val="00B12C3D"/>
    <w:rsid w:val="00B12FD0"/>
    <w:rsid w:val="00B13306"/>
    <w:rsid w:val="00B13F7C"/>
    <w:rsid w:val="00B14599"/>
    <w:rsid w:val="00B1482F"/>
    <w:rsid w:val="00B14E03"/>
    <w:rsid w:val="00B1524E"/>
    <w:rsid w:val="00B152C6"/>
    <w:rsid w:val="00B1597B"/>
    <w:rsid w:val="00B15BB2"/>
    <w:rsid w:val="00B161C3"/>
    <w:rsid w:val="00B16611"/>
    <w:rsid w:val="00B16DB5"/>
    <w:rsid w:val="00B17016"/>
    <w:rsid w:val="00B17D4F"/>
    <w:rsid w:val="00B20AF2"/>
    <w:rsid w:val="00B214DD"/>
    <w:rsid w:val="00B216F9"/>
    <w:rsid w:val="00B22056"/>
    <w:rsid w:val="00B228A4"/>
    <w:rsid w:val="00B229BE"/>
    <w:rsid w:val="00B22A4A"/>
    <w:rsid w:val="00B22D02"/>
    <w:rsid w:val="00B23157"/>
    <w:rsid w:val="00B23BED"/>
    <w:rsid w:val="00B23C29"/>
    <w:rsid w:val="00B241E3"/>
    <w:rsid w:val="00B25C72"/>
    <w:rsid w:val="00B25E6F"/>
    <w:rsid w:val="00B261C3"/>
    <w:rsid w:val="00B26F0F"/>
    <w:rsid w:val="00B27220"/>
    <w:rsid w:val="00B27A6D"/>
    <w:rsid w:val="00B27F62"/>
    <w:rsid w:val="00B3064F"/>
    <w:rsid w:val="00B3098F"/>
    <w:rsid w:val="00B30A2A"/>
    <w:rsid w:val="00B30B07"/>
    <w:rsid w:val="00B314D0"/>
    <w:rsid w:val="00B31F6E"/>
    <w:rsid w:val="00B321FA"/>
    <w:rsid w:val="00B32414"/>
    <w:rsid w:val="00B324B7"/>
    <w:rsid w:val="00B32F00"/>
    <w:rsid w:val="00B32F2D"/>
    <w:rsid w:val="00B32FAF"/>
    <w:rsid w:val="00B3370B"/>
    <w:rsid w:val="00B33E84"/>
    <w:rsid w:val="00B344C2"/>
    <w:rsid w:val="00B34C4E"/>
    <w:rsid w:val="00B35035"/>
    <w:rsid w:val="00B35221"/>
    <w:rsid w:val="00B356B5"/>
    <w:rsid w:val="00B35833"/>
    <w:rsid w:val="00B3598F"/>
    <w:rsid w:val="00B36583"/>
    <w:rsid w:val="00B3690C"/>
    <w:rsid w:val="00B370C8"/>
    <w:rsid w:val="00B37224"/>
    <w:rsid w:val="00B40330"/>
    <w:rsid w:val="00B406E5"/>
    <w:rsid w:val="00B4299A"/>
    <w:rsid w:val="00B42A94"/>
    <w:rsid w:val="00B42C20"/>
    <w:rsid w:val="00B42D9A"/>
    <w:rsid w:val="00B42F20"/>
    <w:rsid w:val="00B43CED"/>
    <w:rsid w:val="00B44509"/>
    <w:rsid w:val="00B44954"/>
    <w:rsid w:val="00B44D96"/>
    <w:rsid w:val="00B4521F"/>
    <w:rsid w:val="00B45928"/>
    <w:rsid w:val="00B45E16"/>
    <w:rsid w:val="00B45E8C"/>
    <w:rsid w:val="00B46B3C"/>
    <w:rsid w:val="00B470FE"/>
    <w:rsid w:val="00B47148"/>
    <w:rsid w:val="00B47252"/>
    <w:rsid w:val="00B472B7"/>
    <w:rsid w:val="00B4758C"/>
    <w:rsid w:val="00B47FE8"/>
    <w:rsid w:val="00B50036"/>
    <w:rsid w:val="00B50B5A"/>
    <w:rsid w:val="00B50F51"/>
    <w:rsid w:val="00B51403"/>
    <w:rsid w:val="00B515BC"/>
    <w:rsid w:val="00B51A2F"/>
    <w:rsid w:val="00B51B5B"/>
    <w:rsid w:val="00B51BF3"/>
    <w:rsid w:val="00B52111"/>
    <w:rsid w:val="00B528D0"/>
    <w:rsid w:val="00B52E2B"/>
    <w:rsid w:val="00B52FAF"/>
    <w:rsid w:val="00B5323F"/>
    <w:rsid w:val="00B53836"/>
    <w:rsid w:val="00B539EB"/>
    <w:rsid w:val="00B54550"/>
    <w:rsid w:val="00B5495B"/>
    <w:rsid w:val="00B54A5A"/>
    <w:rsid w:val="00B54F08"/>
    <w:rsid w:val="00B54FEB"/>
    <w:rsid w:val="00B55695"/>
    <w:rsid w:val="00B562E6"/>
    <w:rsid w:val="00B5639B"/>
    <w:rsid w:val="00B5660B"/>
    <w:rsid w:val="00B56F41"/>
    <w:rsid w:val="00B576E1"/>
    <w:rsid w:val="00B6004E"/>
    <w:rsid w:val="00B60477"/>
    <w:rsid w:val="00B6072A"/>
    <w:rsid w:val="00B608F1"/>
    <w:rsid w:val="00B60F4A"/>
    <w:rsid w:val="00B60F79"/>
    <w:rsid w:val="00B61337"/>
    <w:rsid w:val="00B61474"/>
    <w:rsid w:val="00B61B49"/>
    <w:rsid w:val="00B63591"/>
    <w:rsid w:val="00B635C6"/>
    <w:rsid w:val="00B63704"/>
    <w:rsid w:val="00B63742"/>
    <w:rsid w:val="00B6379E"/>
    <w:rsid w:val="00B637D9"/>
    <w:rsid w:val="00B63B4A"/>
    <w:rsid w:val="00B64201"/>
    <w:rsid w:val="00B64496"/>
    <w:rsid w:val="00B64498"/>
    <w:rsid w:val="00B648E9"/>
    <w:rsid w:val="00B6604C"/>
    <w:rsid w:val="00B6645A"/>
    <w:rsid w:val="00B666A9"/>
    <w:rsid w:val="00B6684A"/>
    <w:rsid w:val="00B67120"/>
    <w:rsid w:val="00B673CA"/>
    <w:rsid w:val="00B6753E"/>
    <w:rsid w:val="00B67550"/>
    <w:rsid w:val="00B679F5"/>
    <w:rsid w:val="00B7117A"/>
    <w:rsid w:val="00B72053"/>
    <w:rsid w:val="00B7234F"/>
    <w:rsid w:val="00B72501"/>
    <w:rsid w:val="00B73B57"/>
    <w:rsid w:val="00B74BDA"/>
    <w:rsid w:val="00B75037"/>
    <w:rsid w:val="00B75159"/>
    <w:rsid w:val="00B759D6"/>
    <w:rsid w:val="00B75AAD"/>
    <w:rsid w:val="00B75D3F"/>
    <w:rsid w:val="00B76633"/>
    <w:rsid w:val="00B7745A"/>
    <w:rsid w:val="00B77723"/>
    <w:rsid w:val="00B77ABB"/>
    <w:rsid w:val="00B77E12"/>
    <w:rsid w:val="00B802CA"/>
    <w:rsid w:val="00B80B08"/>
    <w:rsid w:val="00B815D3"/>
    <w:rsid w:val="00B82DE1"/>
    <w:rsid w:val="00B831A1"/>
    <w:rsid w:val="00B83476"/>
    <w:rsid w:val="00B835D2"/>
    <w:rsid w:val="00B83B6A"/>
    <w:rsid w:val="00B83C67"/>
    <w:rsid w:val="00B843A1"/>
    <w:rsid w:val="00B848BE"/>
    <w:rsid w:val="00B84907"/>
    <w:rsid w:val="00B85638"/>
    <w:rsid w:val="00B8573A"/>
    <w:rsid w:val="00B85861"/>
    <w:rsid w:val="00B861A7"/>
    <w:rsid w:val="00B86903"/>
    <w:rsid w:val="00B8748B"/>
    <w:rsid w:val="00B87BC1"/>
    <w:rsid w:val="00B91818"/>
    <w:rsid w:val="00B919AB"/>
    <w:rsid w:val="00B919D4"/>
    <w:rsid w:val="00B91F80"/>
    <w:rsid w:val="00B92699"/>
    <w:rsid w:val="00B927B0"/>
    <w:rsid w:val="00B92C6F"/>
    <w:rsid w:val="00B92F7A"/>
    <w:rsid w:val="00B93060"/>
    <w:rsid w:val="00B93597"/>
    <w:rsid w:val="00B944AC"/>
    <w:rsid w:val="00B94798"/>
    <w:rsid w:val="00B947FD"/>
    <w:rsid w:val="00B94BE5"/>
    <w:rsid w:val="00B96011"/>
    <w:rsid w:val="00B965AF"/>
    <w:rsid w:val="00B96D5A"/>
    <w:rsid w:val="00B96E9F"/>
    <w:rsid w:val="00B97182"/>
    <w:rsid w:val="00B977A2"/>
    <w:rsid w:val="00B97DBD"/>
    <w:rsid w:val="00BA0255"/>
    <w:rsid w:val="00BA06D4"/>
    <w:rsid w:val="00BA075F"/>
    <w:rsid w:val="00BA0A76"/>
    <w:rsid w:val="00BA0D2A"/>
    <w:rsid w:val="00BA0FA7"/>
    <w:rsid w:val="00BA0FA8"/>
    <w:rsid w:val="00BA102F"/>
    <w:rsid w:val="00BA11C6"/>
    <w:rsid w:val="00BA1218"/>
    <w:rsid w:val="00BA148A"/>
    <w:rsid w:val="00BA1D32"/>
    <w:rsid w:val="00BA1DBF"/>
    <w:rsid w:val="00BA256B"/>
    <w:rsid w:val="00BA3DFA"/>
    <w:rsid w:val="00BA49CD"/>
    <w:rsid w:val="00BA4DC7"/>
    <w:rsid w:val="00BA52C1"/>
    <w:rsid w:val="00BA55A6"/>
    <w:rsid w:val="00BA58C0"/>
    <w:rsid w:val="00BA5AF4"/>
    <w:rsid w:val="00BA5CE0"/>
    <w:rsid w:val="00BA6166"/>
    <w:rsid w:val="00BA64DC"/>
    <w:rsid w:val="00BA683A"/>
    <w:rsid w:val="00BA76B1"/>
    <w:rsid w:val="00BB0423"/>
    <w:rsid w:val="00BB0752"/>
    <w:rsid w:val="00BB16B3"/>
    <w:rsid w:val="00BB2327"/>
    <w:rsid w:val="00BB2B1F"/>
    <w:rsid w:val="00BB2B80"/>
    <w:rsid w:val="00BB2F0B"/>
    <w:rsid w:val="00BB362B"/>
    <w:rsid w:val="00BB3907"/>
    <w:rsid w:val="00BB4C56"/>
    <w:rsid w:val="00BB5F6C"/>
    <w:rsid w:val="00BB60C3"/>
    <w:rsid w:val="00BB6796"/>
    <w:rsid w:val="00BB690D"/>
    <w:rsid w:val="00BB69B6"/>
    <w:rsid w:val="00BB6B1D"/>
    <w:rsid w:val="00BB6C88"/>
    <w:rsid w:val="00BB6ECF"/>
    <w:rsid w:val="00BB74B3"/>
    <w:rsid w:val="00BB76A1"/>
    <w:rsid w:val="00BB777A"/>
    <w:rsid w:val="00BB79C2"/>
    <w:rsid w:val="00BB7C25"/>
    <w:rsid w:val="00BC0B9D"/>
    <w:rsid w:val="00BC1424"/>
    <w:rsid w:val="00BC1765"/>
    <w:rsid w:val="00BC1CC3"/>
    <w:rsid w:val="00BC1DFC"/>
    <w:rsid w:val="00BC2243"/>
    <w:rsid w:val="00BC235F"/>
    <w:rsid w:val="00BC2507"/>
    <w:rsid w:val="00BC27EF"/>
    <w:rsid w:val="00BC2CA6"/>
    <w:rsid w:val="00BC323F"/>
    <w:rsid w:val="00BC4499"/>
    <w:rsid w:val="00BC47D8"/>
    <w:rsid w:val="00BC4B11"/>
    <w:rsid w:val="00BC5454"/>
    <w:rsid w:val="00BC56EB"/>
    <w:rsid w:val="00BC58B0"/>
    <w:rsid w:val="00BC5961"/>
    <w:rsid w:val="00BC5C69"/>
    <w:rsid w:val="00BC6187"/>
    <w:rsid w:val="00BC693E"/>
    <w:rsid w:val="00BD0152"/>
    <w:rsid w:val="00BD028F"/>
    <w:rsid w:val="00BD03C9"/>
    <w:rsid w:val="00BD07F4"/>
    <w:rsid w:val="00BD087D"/>
    <w:rsid w:val="00BD0916"/>
    <w:rsid w:val="00BD137C"/>
    <w:rsid w:val="00BD16D1"/>
    <w:rsid w:val="00BD219A"/>
    <w:rsid w:val="00BD2539"/>
    <w:rsid w:val="00BD26D8"/>
    <w:rsid w:val="00BD2C2C"/>
    <w:rsid w:val="00BD2C42"/>
    <w:rsid w:val="00BD307A"/>
    <w:rsid w:val="00BD3327"/>
    <w:rsid w:val="00BD3698"/>
    <w:rsid w:val="00BD44A4"/>
    <w:rsid w:val="00BD55C0"/>
    <w:rsid w:val="00BD58F5"/>
    <w:rsid w:val="00BD6469"/>
    <w:rsid w:val="00BD65E1"/>
    <w:rsid w:val="00BD6A70"/>
    <w:rsid w:val="00BD6BF2"/>
    <w:rsid w:val="00BD6EF9"/>
    <w:rsid w:val="00BD754C"/>
    <w:rsid w:val="00BD772A"/>
    <w:rsid w:val="00BD7916"/>
    <w:rsid w:val="00BD7970"/>
    <w:rsid w:val="00BE002F"/>
    <w:rsid w:val="00BE02E5"/>
    <w:rsid w:val="00BE067F"/>
    <w:rsid w:val="00BE0C59"/>
    <w:rsid w:val="00BE116E"/>
    <w:rsid w:val="00BE14AD"/>
    <w:rsid w:val="00BE194D"/>
    <w:rsid w:val="00BE1EB6"/>
    <w:rsid w:val="00BE2053"/>
    <w:rsid w:val="00BE235C"/>
    <w:rsid w:val="00BE26E8"/>
    <w:rsid w:val="00BE29DD"/>
    <w:rsid w:val="00BE2AB1"/>
    <w:rsid w:val="00BE350B"/>
    <w:rsid w:val="00BE35C9"/>
    <w:rsid w:val="00BE3A79"/>
    <w:rsid w:val="00BE3B06"/>
    <w:rsid w:val="00BE3D39"/>
    <w:rsid w:val="00BE4556"/>
    <w:rsid w:val="00BE4C3A"/>
    <w:rsid w:val="00BE502C"/>
    <w:rsid w:val="00BE5253"/>
    <w:rsid w:val="00BE576A"/>
    <w:rsid w:val="00BE5835"/>
    <w:rsid w:val="00BE58AC"/>
    <w:rsid w:val="00BE6073"/>
    <w:rsid w:val="00BE6862"/>
    <w:rsid w:val="00BE6B86"/>
    <w:rsid w:val="00BE72FD"/>
    <w:rsid w:val="00BE74D1"/>
    <w:rsid w:val="00BE786F"/>
    <w:rsid w:val="00BE7B02"/>
    <w:rsid w:val="00BF0C38"/>
    <w:rsid w:val="00BF0F2C"/>
    <w:rsid w:val="00BF139F"/>
    <w:rsid w:val="00BF1728"/>
    <w:rsid w:val="00BF1BED"/>
    <w:rsid w:val="00BF1EF8"/>
    <w:rsid w:val="00BF2674"/>
    <w:rsid w:val="00BF2DE5"/>
    <w:rsid w:val="00BF316D"/>
    <w:rsid w:val="00BF31F1"/>
    <w:rsid w:val="00BF388B"/>
    <w:rsid w:val="00BF3C29"/>
    <w:rsid w:val="00BF3DAB"/>
    <w:rsid w:val="00BF4139"/>
    <w:rsid w:val="00BF47F3"/>
    <w:rsid w:val="00BF4827"/>
    <w:rsid w:val="00BF4AD7"/>
    <w:rsid w:val="00BF4C49"/>
    <w:rsid w:val="00BF4C68"/>
    <w:rsid w:val="00BF53DC"/>
    <w:rsid w:val="00BF5DA2"/>
    <w:rsid w:val="00BF5F69"/>
    <w:rsid w:val="00BF5F85"/>
    <w:rsid w:val="00BF6338"/>
    <w:rsid w:val="00BF6536"/>
    <w:rsid w:val="00BF6679"/>
    <w:rsid w:val="00BF6D56"/>
    <w:rsid w:val="00BF7DFA"/>
    <w:rsid w:val="00C003F5"/>
    <w:rsid w:val="00C0079D"/>
    <w:rsid w:val="00C009B4"/>
    <w:rsid w:val="00C00D03"/>
    <w:rsid w:val="00C00F34"/>
    <w:rsid w:val="00C01151"/>
    <w:rsid w:val="00C017B2"/>
    <w:rsid w:val="00C01DD3"/>
    <w:rsid w:val="00C01DFC"/>
    <w:rsid w:val="00C02205"/>
    <w:rsid w:val="00C0282B"/>
    <w:rsid w:val="00C02CA7"/>
    <w:rsid w:val="00C02E62"/>
    <w:rsid w:val="00C03D01"/>
    <w:rsid w:val="00C03D1E"/>
    <w:rsid w:val="00C0406C"/>
    <w:rsid w:val="00C04292"/>
    <w:rsid w:val="00C04382"/>
    <w:rsid w:val="00C0517A"/>
    <w:rsid w:val="00C05343"/>
    <w:rsid w:val="00C05381"/>
    <w:rsid w:val="00C0572E"/>
    <w:rsid w:val="00C067E0"/>
    <w:rsid w:val="00C074B8"/>
    <w:rsid w:val="00C075D0"/>
    <w:rsid w:val="00C1025D"/>
    <w:rsid w:val="00C103AB"/>
    <w:rsid w:val="00C117B9"/>
    <w:rsid w:val="00C11821"/>
    <w:rsid w:val="00C118D8"/>
    <w:rsid w:val="00C12D93"/>
    <w:rsid w:val="00C12EE2"/>
    <w:rsid w:val="00C13419"/>
    <w:rsid w:val="00C139DE"/>
    <w:rsid w:val="00C13A51"/>
    <w:rsid w:val="00C13B55"/>
    <w:rsid w:val="00C13C3F"/>
    <w:rsid w:val="00C13CBD"/>
    <w:rsid w:val="00C13DB6"/>
    <w:rsid w:val="00C142BD"/>
    <w:rsid w:val="00C14B57"/>
    <w:rsid w:val="00C15671"/>
    <w:rsid w:val="00C15D34"/>
    <w:rsid w:val="00C16489"/>
    <w:rsid w:val="00C16848"/>
    <w:rsid w:val="00C168C0"/>
    <w:rsid w:val="00C16B43"/>
    <w:rsid w:val="00C16BF9"/>
    <w:rsid w:val="00C1711E"/>
    <w:rsid w:val="00C17140"/>
    <w:rsid w:val="00C174C6"/>
    <w:rsid w:val="00C17E6E"/>
    <w:rsid w:val="00C17F0A"/>
    <w:rsid w:val="00C2001A"/>
    <w:rsid w:val="00C20446"/>
    <w:rsid w:val="00C20915"/>
    <w:rsid w:val="00C211D4"/>
    <w:rsid w:val="00C2185E"/>
    <w:rsid w:val="00C21A06"/>
    <w:rsid w:val="00C221D0"/>
    <w:rsid w:val="00C22CD7"/>
    <w:rsid w:val="00C23520"/>
    <w:rsid w:val="00C2366E"/>
    <w:rsid w:val="00C23A6B"/>
    <w:rsid w:val="00C24097"/>
    <w:rsid w:val="00C246D7"/>
    <w:rsid w:val="00C247E5"/>
    <w:rsid w:val="00C24DA9"/>
    <w:rsid w:val="00C24F12"/>
    <w:rsid w:val="00C24F98"/>
    <w:rsid w:val="00C25082"/>
    <w:rsid w:val="00C25277"/>
    <w:rsid w:val="00C255B0"/>
    <w:rsid w:val="00C25E6A"/>
    <w:rsid w:val="00C25E7D"/>
    <w:rsid w:val="00C265D4"/>
    <w:rsid w:val="00C273AE"/>
    <w:rsid w:val="00C275FC"/>
    <w:rsid w:val="00C27B1C"/>
    <w:rsid w:val="00C27D57"/>
    <w:rsid w:val="00C27E01"/>
    <w:rsid w:val="00C27F2F"/>
    <w:rsid w:val="00C303C0"/>
    <w:rsid w:val="00C30CB1"/>
    <w:rsid w:val="00C30D84"/>
    <w:rsid w:val="00C3145E"/>
    <w:rsid w:val="00C315AE"/>
    <w:rsid w:val="00C3160C"/>
    <w:rsid w:val="00C317A7"/>
    <w:rsid w:val="00C31EE1"/>
    <w:rsid w:val="00C32310"/>
    <w:rsid w:val="00C33431"/>
    <w:rsid w:val="00C337A9"/>
    <w:rsid w:val="00C33AEC"/>
    <w:rsid w:val="00C34536"/>
    <w:rsid w:val="00C34CDD"/>
    <w:rsid w:val="00C34F9A"/>
    <w:rsid w:val="00C357AE"/>
    <w:rsid w:val="00C359A4"/>
    <w:rsid w:val="00C3608B"/>
    <w:rsid w:val="00C36203"/>
    <w:rsid w:val="00C36B2D"/>
    <w:rsid w:val="00C37CDE"/>
    <w:rsid w:val="00C408AF"/>
    <w:rsid w:val="00C40C58"/>
    <w:rsid w:val="00C40F81"/>
    <w:rsid w:val="00C410D2"/>
    <w:rsid w:val="00C417CD"/>
    <w:rsid w:val="00C4189C"/>
    <w:rsid w:val="00C41AFB"/>
    <w:rsid w:val="00C41C08"/>
    <w:rsid w:val="00C41C3F"/>
    <w:rsid w:val="00C42A78"/>
    <w:rsid w:val="00C42FB2"/>
    <w:rsid w:val="00C437D6"/>
    <w:rsid w:val="00C4426C"/>
    <w:rsid w:val="00C44629"/>
    <w:rsid w:val="00C4471A"/>
    <w:rsid w:val="00C44CC9"/>
    <w:rsid w:val="00C44D73"/>
    <w:rsid w:val="00C44FD9"/>
    <w:rsid w:val="00C45350"/>
    <w:rsid w:val="00C4548D"/>
    <w:rsid w:val="00C45DD1"/>
    <w:rsid w:val="00C4601D"/>
    <w:rsid w:val="00C4698B"/>
    <w:rsid w:val="00C46FE3"/>
    <w:rsid w:val="00C4707D"/>
    <w:rsid w:val="00C473E7"/>
    <w:rsid w:val="00C47478"/>
    <w:rsid w:val="00C47BD2"/>
    <w:rsid w:val="00C50DFC"/>
    <w:rsid w:val="00C51206"/>
    <w:rsid w:val="00C51FA8"/>
    <w:rsid w:val="00C51FF0"/>
    <w:rsid w:val="00C52D4E"/>
    <w:rsid w:val="00C5300F"/>
    <w:rsid w:val="00C53027"/>
    <w:rsid w:val="00C53271"/>
    <w:rsid w:val="00C53343"/>
    <w:rsid w:val="00C53EE2"/>
    <w:rsid w:val="00C54473"/>
    <w:rsid w:val="00C55D94"/>
    <w:rsid w:val="00C56258"/>
    <w:rsid w:val="00C57567"/>
    <w:rsid w:val="00C57582"/>
    <w:rsid w:val="00C6017A"/>
    <w:rsid w:val="00C6087E"/>
    <w:rsid w:val="00C608EF"/>
    <w:rsid w:val="00C60FC1"/>
    <w:rsid w:val="00C60FF0"/>
    <w:rsid w:val="00C612A2"/>
    <w:rsid w:val="00C612BB"/>
    <w:rsid w:val="00C612BF"/>
    <w:rsid w:val="00C618F6"/>
    <w:rsid w:val="00C619EE"/>
    <w:rsid w:val="00C6207E"/>
    <w:rsid w:val="00C62E67"/>
    <w:rsid w:val="00C631A8"/>
    <w:rsid w:val="00C6339B"/>
    <w:rsid w:val="00C63770"/>
    <w:rsid w:val="00C63B5F"/>
    <w:rsid w:val="00C64784"/>
    <w:rsid w:val="00C64AD8"/>
    <w:rsid w:val="00C64FAE"/>
    <w:rsid w:val="00C65320"/>
    <w:rsid w:val="00C65CEF"/>
    <w:rsid w:val="00C66344"/>
    <w:rsid w:val="00C66679"/>
    <w:rsid w:val="00C66B58"/>
    <w:rsid w:val="00C66D4A"/>
    <w:rsid w:val="00C66E0E"/>
    <w:rsid w:val="00C674F7"/>
    <w:rsid w:val="00C67955"/>
    <w:rsid w:val="00C67C00"/>
    <w:rsid w:val="00C70074"/>
    <w:rsid w:val="00C701EC"/>
    <w:rsid w:val="00C70244"/>
    <w:rsid w:val="00C70341"/>
    <w:rsid w:val="00C70438"/>
    <w:rsid w:val="00C70918"/>
    <w:rsid w:val="00C70C17"/>
    <w:rsid w:val="00C716CF"/>
    <w:rsid w:val="00C717CD"/>
    <w:rsid w:val="00C71EAD"/>
    <w:rsid w:val="00C7264D"/>
    <w:rsid w:val="00C729CD"/>
    <w:rsid w:val="00C72AE3"/>
    <w:rsid w:val="00C73402"/>
    <w:rsid w:val="00C73FAD"/>
    <w:rsid w:val="00C745D7"/>
    <w:rsid w:val="00C74865"/>
    <w:rsid w:val="00C74916"/>
    <w:rsid w:val="00C755C8"/>
    <w:rsid w:val="00C758E0"/>
    <w:rsid w:val="00C75A25"/>
    <w:rsid w:val="00C76C64"/>
    <w:rsid w:val="00C76DBB"/>
    <w:rsid w:val="00C7702A"/>
    <w:rsid w:val="00C771B4"/>
    <w:rsid w:val="00C773C8"/>
    <w:rsid w:val="00C807B9"/>
    <w:rsid w:val="00C80A25"/>
    <w:rsid w:val="00C81B0E"/>
    <w:rsid w:val="00C81DB4"/>
    <w:rsid w:val="00C81DF7"/>
    <w:rsid w:val="00C8242E"/>
    <w:rsid w:val="00C8287D"/>
    <w:rsid w:val="00C82930"/>
    <w:rsid w:val="00C8301A"/>
    <w:rsid w:val="00C83A04"/>
    <w:rsid w:val="00C83E34"/>
    <w:rsid w:val="00C846DF"/>
    <w:rsid w:val="00C84704"/>
    <w:rsid w:val="00C84CB8"/>
    <w:rsid w:val="00C84F73"/>
    <w:rsid w:val="00C8531E"/>
    <w:rsid w:val="00C853A9"/>
    <w:rsid w:val="00C8572E"/>
    <w:rsid w:val="00C85B6C"/>
    <w:rsid w:val="00C85E1F"/>
    <w:rsid w:val="00C85ED3"/>
    <w:rsid w:val="00C86202"/>
    <w:rsid w:val="00C86A34"/>
    <w:rsid w:val="00C86B92"/>
    <w:rsid w:val="00C86BFE"/>
    <w:rsid w:val="00C86D8A"/>
    <w:rsid w:val="00C871DD"/>
    <w:rsid w:val="00C873ED"/>
    <w:rsid w:val="00C87F73"/>
    <w:rsid w:val="00C900B0"/>
    <w:rsid w:val="00C90231"/>
    <w:rsid w:val="00C9080B"/>
    <w:rsid w:val="00C90D8A"/>
    <w:rsid w:val="00C90EF9"/>
    <w:rsid w:val="00C9108F"/>
    <w:rsid w:val="00C91CEC"/>
    <w:rsid w:val="00C924DF"/>
    <w:rsid w:val="00C92714"/>
    <w:rsid w:val="00C9286B"/>
    <w:rsid w:val="00C92949"/>
    <w:rsid w:val="00C9312F"/>
    <w:rsid w:val="00C933D8"/>
    <w:rsid w:val="00C93FE7"/>
    <w:rsid w:val="00C94810"/>
    <w:rsid w:val="00C9488A"/>
    <w:rsid w:val="00C94AD2"/>
    <w:rsid w:val="00C950CA"/>
    <w:rsid w:val="00C95819"/>
    <w:rsid w:val="00C958E9"/>
    <w:rsid w:val="00C95ED6"/>
    <w:rsid w:val="00CA0559"/>
    <w:rsid w:val="00CA1B03"/>
    <w:rsid w:val="00CA1DCF"/>
    <w:rsid w:val="00CA1E28"/>
    <w:rsid w:val="00CA1FB0"/>
    <w:rsid w:val="00CA210B"/>
    <w:rsid w:val="00CA24D1"/>
    <w:rsid w:val="00CA27A0"/>
    <w:rsid w:val="00CA2E1D"/>
    <w:rsid w:val="00CA370B"/>
    <w:rsid w:val="00CA3738"/>
    <w:rsid w:val="00CA394B"/>
    <w:rsid w:val="00CA39CC"/>
    <w:rsid w:val="00CA4743"/>
    <w:rsid w:val="00CA48B2"/>
    <w:rsid w:val="00CA4EE8"/>
    <w:rsid w:val="00CA5B35"/>
    <w:rsid w:val="00CA5D33"/>
    <w:rsid w:val="00CA5FEA"/>
    <w:rsid w:val="00CA6014"/>
    <w:rsid w:val="00CA6568"/>
    <w:rsid w:val="00CA65FC"/>
    <w:rsid w:val="00CA688E"/>
    <w:rsid w:val="00CA6B6A"/>
    <w:rsid w:val="00CA7247"/>
    <w:rsid w:val="00CA735E"/>
    <w:rsid w:val="00CA73DD"/>
    <w:rsid w:val="00CA7931"/>
    <w:rsid w:val="00CA7D8A"/>
    <w:rsid w:val="00CB0DDD"/>
    <w:rsid w:val="00CB10A6"/>
    <w:rsid w:val="00CB1162"/>
    <w:rsid w:val="00CB138F"/>
    <w:rsid w:val="00CB13E0"/>
    <w:rsid w:val="00CB1919"/>
    <w:rsid w:val="00CB1C76"/>
    <w:rsid w:val="00CB1D50"/>
    <w:rsid w:val="00CB1E6C"/>
    <w:rsid w:val="00CB2197"/>
    <w:rsid w:val="00CB248C"/>
    <w:rsid w:val="00CB254E"/>
    <w:rsid w:val="00CB25B9"/>
    <w:rsid w:val="00CB2EDC"/>
    <w:rsid w:val="00CB348C"/>
    <w:rsid w:val="00CB3934"/>
    <w:rsid w:val="00CB4046"/>
    <w:rsid w:val="00CB43FA"/>
    <w:rsid w:val="00CB4A69"/>
    <w:rsid w:val="00CB4EF9"/>
    <w:rsid w:val="00CB5A89"/>
    <w:rsid w:val="00CB5B31"/>
    <w:rsid w:val="00CB5BE7"/>
    <w:rsid w:val="00CB6EE3"/>
    <w:rsid w:val="00CB712E"/>
    <w:rsid w:val="00CB7234"/>
    <w:rsid w:val="00CB76B8"/>
    <w:rsid w:val="00CB7703"/>
    <w:rsid w:val="00CB783B"/>
    <w:rsid w:val="00CB7FBA"/>
    <w:rsid w:val="00CC0D6B"/>
    <w:rsid w:val="00CC0E1E"/>
    <w:rsid w:val="00CC1189"/>
    <w:rsid w:val="00CC1516"/>
    <w:rsid w:val="00CC1F79"/>
    <w:rsid w:val="00CC23C6"/>
    <w:rsid w:val="00CC27E6"/>
    <w:rsid w:val="00CC2803"/>
    <w:rsid w:val="00CC3489"/>
    <w:rsid w:val="00CC3902"/>
    <w:rsid w:val="00CC3A68"/>
    <w:rsid w:val="00CC468B"/>
    <w:rsid w:val="00CC4B5B"/>
    <w:rsid w:val="00CC61F1"/>
    <w:rsid w:val="00CC6423"/>
    <w:rsid w:val="00CC657C"/>
    <w:rsid w:val="00CC68D6"/>
    <w:rsid w:val="00CC707F"/>
    <w:rsid w:val="00CC712C"/>
    <w:rsid w:val="00CC777D"/>
    <w:rsid w:val="00CC79CD"/>
    <w:rsid w:val="00CC7C5C"/>
    <w:rsid w:val="00CC7CC8"/>
    <w:rsid w:val="00CD0761"/>
    <w:rsid w:val="00CD0CEE"/>
    <w:rsid w:val="00CD13B4"/>
    <w:rsid w:val="00CD1841"/>
    <w:rsid w:val="00CD1BF1"/>
    <w:rsid w:val="00CD27C1"/>
    <w:rsid w:val="00CD2A3E"/>
    <w:rsid w:val="00CD31C1"/>
    <w:rsid w:val="00CD35F1"/>
    <w:rsid w:val="00CD4704"/>
    <w:rsid w:val="00CD4AE1"/>
    <w:rsid w:val="00CD4B3B"/>
    <w:rsid w:val="00CD4C9C"/>
    <w:rsid w:val="00CD5401"/>
    <w:rsid w:val="00CD5716"/>
    <w:rsid w:val="00CD5927"/>
    <w:rsid w:val="00CD6524"/>
    <w:rsid w:val="00CD68DD"/>
    <w:rsid w:val="00CD6AA3"/>
    <w:rsid w:val="00CD6C24"/>
    <w:rsid w:val="00CD6C94"/>
    <w:rsid w:val="00CD7649"/>
    <w:rsid w:val="00CD7760"/>
    <w:rsid w:val="00CD794A"/>
    <w:rsid w:val="00CD7B8B"/>
    <w:rsid w:val="00CE0361"/>
    <w:rsid w:val="00CE05C6"/>
    <w:rsid w:val="00CE073C"/>
    <w:rsid w:val="00CE1DF8"/>
    <w:rsid w:val="00CE2B04"/>
    <w:rsid w:val="00CE2C04"/>
    <w:rsid w:val="00CE3F20"/>
    <w:rsid w:val="00CE40EA"/>
    <w:rsid w:val="00CE484E"/>
    <w:rsid w:val="00CE4E0D"/>
    <w:rsid w:val="00CE4F18"/>
    <w:rsid w:val="00CE5298"/>
    <w:rsid w:val="00CE5416"/>
    <w:rsid w:val="00CE58EB"/>
    <w:rsid w:val="00CE596B"/>
    <w:rsid w:val="00CE5F0A"/>
    <w:rsid w:val="00CE643F"/>
    <w:rsid w:val="00CE6523"/>
    <w:rsid w:val="00CE681D"/>
    <w:rsid w:val="00CE6A32"/>
    <w:rsid w:val="00CE6EA0"/>
    <w:rsid w:val="00CF091E"/>
    <w:rsid w:val="00CF0A69"/>
    <w:rsid w:val="00CF10F6"/>
    <w:rsid w:val="00CF1AC7"/>
    <w:rsid w:val="00CF1B60"/>
    <w:rsid w:val="00CF1DBF"/>
    <w:rsid w:val="00CF1E7E"/>
    <w:rsid w:val="00CF26A8"/>
    <w:rsid w:val="00CF35B2"/>
    <w:rsid w:val="00CF38D4"/>
    <w:rsid w:val="00CF472E"/>
    <w:rsid w:val="00CF50F7"/>
    <w:rsid w:val="00CF5593"/>
    <w:rsid w:val="00CF5672"/>
    <w:rsid w:val="00CF5C9C"/>
    <w:rsid w:val="00CF60B2"/>
    <w:rsid w:val="00CF6BB9"/>
    <w:rsid w:val="00CF6DD6"/>
    <w:rsid w:val="00CF7017"/>
    <w:rsid w:val="00CF766E"/>
    <w:rsid w:val="00D004D6"/>
    <w:rsid w:val="00D005AD"/>
    <w:rsid w:val="00D00FDE"/>
    <w:rsid w:val="00D022D6"/>
    <w:rsid w:val="00D026EE"/>
    <w:rsid w:val="00D02876"/>
    <w:rsid w:val="00D02BFF"/>
    <w:rsid w:val="00D0316E"/>
    <w:rsid w:val="00D03342"/>
    <w:rsid w:val="00D03563"/>
    <w:rsid w:val="00D03F31"/>
    <w:rsid w:val="00D043F5"/>
    <w:rsid w:val="00D045FD"/>
    <w:rsid w:val="00D05109"/>
    <w:rsid w:val="00D0566D"/>
    <w:rsid w:val="00D0774F"/>
    <w:rsid w:val="00D07D72"/>
    <w:rsid w:val="00D103E0"/>
    <w:rsid w:val="00D1060F"/>
    <w:rsid w:val="00D10D5F"/>
    <w:rsid w:val="00D1140B"/>
    <w:rsid w:val="00D11823"/>
    <w:rsid w:val="00D118F2"/>
    <w:rsid w:val="00D12448"/>
    <w:rsid w:val="00D12563"/>
    <w:rsid w:val="00D12670"/>
    <w:rsid w:val="00D127DE"/>
    <w:rsid w:val="00D12820"/>
    <w:rsid w:val="00D12D32"/>
    <w:rsid w:val="00D12E0E"/>
    <w:rsid w:val="00D12F83"/>
    <w:rsid w:val="00D132C3"/>
    <w:rsid w:val="00D13444"/>
    <w:rsid w:val="00D137F1"/>
    <w:rsid w:val="00D13887"/>
    <w:rsid w:val="00D13F31"/>
    <w:rsid w:val="00D140E8"/>
    <w:rsid w:val="00D148D1"/>
    <w:rsid w:val="00D149AD"/>
    <w:rsid w:val="00D159F8"/>
    <w:rsid w:val="00D1637D"/>
    <w:rsid w:val="00D16CC4"/>
    <w:rsid w:val="00D171C8"/>
    <w:rsid w:val="00D17440"/>
    <w:rsid w:val="00D17AFC"/>
    <w:rsid w:val="00D17CFB"/>
    <w:rsid w:val="00D17D1E"/>
    <w:rsid w:val="00D2009D"/>
    <w:rsid w:val="00D20822"/>
    <w:rsid w:val="00D20982"/>
    <w:rsid w:val="00D21D1B"/>
    <w:rsid w:val="00D22287"/>
    <w:rsid w:val="00D22567"/>
    <w:rsid w:val="00D226B9"/>
    <w:rsid w:val="00D22F65"/>
    <w:rsid w:val="00D23437"/>
    <w:rsid w:val="00D2381C"/>
    <w:rsid w:val="00D23A94"/>
    <w:rsid w:val="00D23EEA"/>
    <w:rsid w:val="00D23F38"/>
    <w:rsid w:val="00D24346"/>
    <w:rsid w:val="00D2459A"/>
    <w:rsid w:val="00D2481A"/>
    <w:rsid w:val="00D248D9"/>
    <w:rsid w:val="00D24B50"/>
    <w:rsid w:val="00D24CD7"/>
    <w:rsid w:val="00D24D7B"/>
    <w:rsid w:val="00D2502F"/>
    <w:rsid w:val="00D25450"/>
    <w:rsid w:val="00D25F3E"/>
    <w:rsid w:val="00D26C87"/>
    <w:rsid w:val="00D27131"/>
    <w:rsid w:val="00D27825"/>
    <w:rsid w:val="00D3147E"/>
    <w:rsid w:val="00D31BBD"/>
    <w:rsid w:val="00D329A0"/>
    <w:rsid w:val="00D32CE1"/>
    <w:rsid w:val="00D32E58"/>
    <w:rsid w:val="00D33010"/>
    <w:rsid w:val="00D334CD"/>
    <w:rsid w:val="00D3395C"/>
    <w:rsid w:val="00D34412"/>
    <w:rsid w:val="00D34D6B"/>
    <w:rsid w:val="00D350C5"/>
    <w:rsid w:val="00D350D9"/>
    <w:rsid w:val="00D35628"/>
    <w:rsid w:val="00D35B1E"/>
    <w:rsid w:val="00D35BAA"/>
    <w:rsid w:val="00D36072"/>
    <w:rsid w:val="00D36122"/>
    <w:rsid w:val="00D362E0"/>
    <w:rsid w:val="00D367F0"/>
    <w:rsid w:val="00D36E7E"/>
    <w:rsid w:val="00D3756A"/>
    <w:rsid w:val="00D375DA"/>
    <w:rsid w:val="00D37669"/>
    <w:rsid w:val="00D377AE"/>
    <w:rsid w:val="00D400D8"/>
    <w:rsid w:val="00D403D0"/>
    <w:rsid w:val="00D404B1"/>
    <w:rsid w:val="00D4096D"/>
    <w:rsid w:val="00D4113F"/>
    <w:rsid w:val="00D4119C"/>
    <w:rsid w:val="00D412B3"/>
    <w:rsid w:val="00D41378"/>
    <w:rsid w:val="00D41616"/>
    <w:rsid w:val="00D42CD9"/>
    <w:rsid w:val="00D43988"/>
    <w:rsid w:val="00D43AC4"/>
    <w:rsid w:val="00D442ED"/>
    <w:rsid w:val="00D44448"/>
    <w:rsid w:val="00D44B46"/>
    <w:rsid w:val="00D44BDE"/>
    <w:rsid w:val="00D44E88"/>
    <w:rsid w:val="00D456A5"/>
    <w:rsid w:val="00D45B50"/>
    <w:rsid w:val="00D45CA8"/>
    <w:rsid w:val="00D46109"/>
    <w:rsid w:val="00D46C3C"/>
    <w:rsid w:val="00D46D0E"/>
    <w:rsid w:val="00D46E71"/>
    <w:rsid w:val="00D4707E"/>
    <w:rsid w:val="00D4721D"/>
    <w:rsid w:val="00D47867"/>
    <w:rsid w:val="00D47D6E"/>
    <w:rsid w:val="00D47E2C"/>
    <w:rsid w:val="00D47EAF"/>
    <w:rsid w:val="00D47F54"/>
    <w:rsid w:val="00D504F6"/>
    <w:rsid w:val="00D50C02"/>
    <w:rsid w:val="00D50E7A"/>
    <w:rsid w:val="00D5148C"/>
    <w:rsid w:val="00D51552"/>
    <w:rsid w:val="00D516F9"/>
    <w:rsid w:val="00D51B27"/>
    <w:rsid w:val="00D5227E"/>
    <w:rsid w:val="00D52583"/>
    <w:rsid w:val="00D52D7F"/>
    <w:rsid w:val="00D52F8D"/>
    <w:rsid w:val="00D53034"/>
    <w:rsid w:val="00D532F5"/>
    <w:rsid w:val="00D5331B"/>
    <w:rsid w:val="00D54373"/>
    <w:rsid w:val="00D545E9"/>
    <w:rsid w:val="00D547BC"/>
    <w:rsid w:val="00D54E43"/>
    <w:rsid w:val="00D54F28"/>
    <w:rsid w:val="00D559DA"/>
    <w:rsid w:val="00D55A05"/>
    <w:rsid w:val="00D564EF"/>
    <w:rsid w:val="00D56DB7"/>
    <w:rsid w:val="00D57061"/>
    <w:rsid w:val="00D570FB"/>
    <w:rsid w:val="00D57447"/>
    <w:rsid w:val="00D57E09"/>
    <w:rsid w:val="00D60E3C"/>
    <w:rsid w:val="00D613B2"/>
    <w:rsid w:val="00D61A9F"/>
    <w:rsid w:val="00D61AF6"/>
    <w:rsid w:val="00D61D25"/>
    <w:rsid w:val="00D61E2C"/>
    <w:rsid w:val="00D61EDD"/>
    <w:rsid w:val="00D622E3"/>
    <w:rsid w:val="00D628AF"/>
    <w:rsid w:val="00D6294B"/>
    <w:rsid w:val="00D630BA"/>
    <w:rsid w:val="00D6353D"/>
    <w:rsid w:val="00D6367B"/>
    <w:rsid w:val="00D63895"/>
    <w:rsid w:val="00D6429C"/>
    <w:rsid w:val="00D642D7"/>
    <w:rsid w:val="00D64490"/>
    <w:rsid w:val="00D646F2"/>
    <w:rsid w:val="00D64A3D"/>
    <w:rsid w:val="00D66331"/>
    <w:rsid w:val="00D664CB"/>
    <w:rsid w:val="00D66697"/>
    <w:rsid w:val="00D66EDC"/>
    <w:rsid w:val="00D67684"/>
    <w:rsid w:val="00D67ACA"/>
    <w:rsid w:val="00D67F69"/>
    <w:rsid w:val="00D70737"/>
    <w:rsid w:val="00D71103"/>
    <w:rsid w:val="00D72420"/>
    <w:rsid w:val="00D72551"/>
    <w:rsid w:val="00D72CE2"/>
    <w:rsid w:val="00D72DF4"/>
    <w:rsid w:val="00D73302"/>
    <w:rsid w:val="00D73ADE"/>
    <w:rsid w:val="00D73AF1"/>
    <w:rsid w:val="00D74504"/>
    <w:rsid w:val="00D74639"/>
    <w:rsid w:val="00D74F04"/>
    <w:rsid w:val="00D75560"/>
    <w:rsid w:val="00D762C4"/>
    <w:rsid w:val="00D7743F"/>
    <w:rsid w:val="00D77A79"/>
    <w:rsid w:val="00D77EF0"/>
    <w:rsid w:val="00D77F35"/>
    <w:rsid w:val="00D8093F"/>
    <w:rsid w:val="00D809B7"/>
    <w:rsid w:val="00D810C4"/>
    <w:rsid w:val="00D813B0"/>
    <w:rsid w:val="00D813C5"/>
    <w:rsid w:val="00D81A57"/>
    <w:rsid w:val="00D81C43"/>
    <w:rsid w:val="00D81FFC"/>
    <w:rsid w:val="00D823FE"/>
    <w:rsid w:val="00D82A4C"/>
    <w:rsid w:val="00D82E01"/>
    <w:rsid w:val="00D83A8B"/>
    <w:rsid w:val="00D83DB5"/>
    <w:rsid w:val="00D83DBF"/>
    <w:rsid w:val="00D84061"/>
    <w:rsid w:val="00D844E7"/>
    <w:rsid w:val="00D8468D"/>
    <w:rsid w:val="00D8483A"/>
    <w:rsid w:val="00D85683"/>
    <w:rsid w:val="00D8671C"/>
    <w:rsid w:val="00D8682D"/>
    <w:rsid w:val="00D86B88"/>
    <w:rsid w:val="00D87125"/>
    <w:rsid w:val="00D87145"/>
    <w:rsid w:val="00D874FB"/>
    <w:rsid w:val="00D90AA7"/>
    <w:rsid w:val="00D90EC1"/>
    <w:rsid w:val="00D90F8A"/>
    <w:rsid w:val="00D91621"/>
    <w:rsid w:val="00D918C7"/>
    <w:rsid w:val="00D91B8F"/>
    <w:rsid w:val="00D9250C"/>
    <w:rsid w:val="00D92CF0"/>
    <w:rsid w:val="00D92D9C"/>
    <w:rsid w:val="00D930F2"/>
    <w:rsid w:val="00D93342"/>
    <w:rsid w:val="00D93415"/>
    <w:rsid w:val="00D93B40"/>
    <w:rsid w:val="00D93FFD"/>
    <w:rsid w:val="00D950AF"/>
    <w:rsid w:val="00D95311"/>
    <w:rsid w:val="00D9545B"/>
    <w:rsid w:val="00D9553A"/>
    <w:rsid w:val="00D957EB"/>
    <w:rsid w:val="00D9599B"/>
    <w:rsid w:val="00D95BCF"/>
    <w:rsid w:val="00D95D43"/>
    <w:rsid w:val="00D95FC2"/>
    <w:rsid w:val="00D961EE"/>
    <w:rsid w:val="00D96484"/>
    <w:rsid w:val="00D97077"/>
    <w:rsid w:val="00D97191"/>
    <w:rsid w:val="00D971AA"/>
    <w:rsid w:val="00D97308"/>
    <w:rsid w:val="00D9740F"/>
    <w:rsid w:val="00D97A89"/>
    <w:rsid w:val="00D97B86"/>
    <w:rsid w:val="00D97BA1"/>
    <w:rsid w:val="00D97D8B"/>
    <w:rsid w:val="00DA09FC"/>
    <w:rsid w:val="00DA0B48"/>
    <w:rsid w:val="00DA0C9D"/>
    <w:rsid w:val="00DA0DBB"/>
    <w:rsid w:val="00DA1779"/>
    <w:rsid w:val="00DA1E0D"/>
    <w:rsid w:val="00DA1EE5"/>
    <w:rsid w:val="00DA263F"/>
    <w:rsid w:val="00DA2A54"/>
    <w:rsid w:val="00DA3525"/>
    <w:rsid w:val="00DA3785"/>
    <w:rsid w:val="00DA3D60"/>
    <w:rsid w:val="00DA44CF"/>
    <w:rsid w:val="00DA4F1D"/>
    <w:rsid w:val="00DA51F4"/>
    <w:rsid w:val="00DA59D2"/>
    <w:rsid w:val="00DA60CB"/>
    <w:rsid w:val="00DA669D"/>
    <w:rsid w:val="00DA776F"/>
    <w:rsid w:val="00DA7B84"/>
    <w:rsid w:val="00DB07BB"/>
    <w:rsid w:val="00DB125E"/>
    <w:rsid w:val="00DB1330"/>
    <w:rsid w:val="00DB1749"/>
    <w:rsid w:val="00DB1FEA"/>
    <w:rsid w:val="00DB2368"/>
    <w:rsid w:val="00DB24FB"/>
    <w:rsid w:val="00DB2B7E"/>
    <w:rsid w:val="00DB328A"/>
    <w:rsid w:val="00DB36D2"/>
    <w:rsid w:val="00DB3E2C"/>
    <w:rsid w:val="00DB42F9"/>
    <w:rsid w:val="00DB452C"/>
    <w:rsid w:val="00DB476D"/>
    <w:rsid w:val="00DB47C5"/>
    <w:rsid w:val="00DB53DE"/>
    <w:rsid w:val="00DB5719"/>
    <w:rsid w:val="00DB5B6F"/>
    <w:rsid w:val="00DB5BF1"/>
    <w:rsid w:val="00DB5D19"/>
    <w:rsid w:val="00DB5E4A"/>
    <w:rsid w:val="00DB6042"/>
    <w:rsid w:val="00DB624E"/>
    <w:rsid w:val="00DB6888"/>
    <w:rsid w:val="00DB6FF9"/>
    <w:rsid w:val="00DB7650"/>
    <w:rsid w:val="00DB7A4B"/>
    <w:rsid w:val="00DC02EA"/>
    <w:rsid w:val="00DC092E"/>
    <w:rsid w:val="00DC0A52"/>
    <w:rsid w:val="00DC0BDC"/>
    <w:rsid w:val="00DC0E65"/>
    <w:rsid w:val="00DC1103"/>
    <w:rsid w:val="00DC1117"/>
    <w:rsid w:val="00DC13E6"/>
    <w:rsid w:val="00DC1CA6"/>
    <w:rsid w:val="00DC20CF"/>
    <w:rsid w:val="00DC2259"/>
    <w:rsid w:val="00DC2623"/>
    <w:rsid w:val="00DC31CC"/>
    <w:rsid w:val="00DC3A8D"/>
    <w:rsid w:val="00DC4D65"/>
    <w:rsid w:val="00DC64A0"/>
    <w:rsid w:val="00DC6627"/>
    <w:rsid w:val="00DC6AE4"/>
    <w:rsid w:val="00DC76C3"/>
    <w:rsid w:val="00DC77BF"/>
    <w:rsid w:val="00DC7A5D"/>
    <w:rsid w:val="00DC7B9A"/>
    <w:rsid w:val="00DC7BDA"/>
    <w:rsid w:val="00DC7E69"/>
    <w:rsid w:val="00DD02C0"/>
    <w:rsid w:val="00DD1B83"/>
    <w:rsid w:val="00DD1CF0"/>
    <w:rsid w:val="00DD1EC6"/>
    <w:rsid w:val="00DD2821"/>
    <w:rsid w:val="00DD2BAF"/>
    <w:rsid w:val="00DD2E32"/>
    <w:rsid w:val="00DD31C4"/>
    <w:rsid w:val="00DD3308"/>
    <w:rsid w:val="00DD3316"/>
    <w:rsid w:val="00DD38FE"/>
    <w:rsid w:val="00DD3CB2"/>
    <w:rsid w:val="00DD3E52"/>
    <w:rsid w:val="00DD460E"/>
    <w:rsid w:val="00DD4F5E"/>
    <w:rsid w:val="00DD5517"/>
    <w:rsid w:val="00DD5ADD"/>
    <w:rsid w:val="00DD5CB6"/>
    <w:rsid w:val="00DD5E57"/>
    <w:rsid w:val="00DD6357"/>
    <w:rsid w:val="00DD6DFD"/>
    <w:rsid w:val="00DD6E32"/>
    <w:rsid w:val="00DD7695"/>
    <w:rsid w:val="00DE02BE"/>
    <w:rsid w:val="00DE146E"/>
    <w:rsid w:val="00DE1B0C"/>
    <w:rsid w:val="00DE2E6C"/>
    <w:rsid w:val="00DE2FFE"/>
    <w:rsid w:val="00DE3385"/>
    <w:rsid w:val="00DE3554"/>
    <w:rsid w:val="00DE38A1"/>
    <w:rsid w:val="00DE4300"/>
    <w:rsid w:val="00DE4638"/>
    <w:rsid w:val="00DE4651"/>
    <w:rsid w:val="00DE4FEF"/>
    <w:rsid w:val="00DE60D5"/>
    <w:rsid w:val="00DE6569"/>
    <w:rsid w:val="00DE66D7"/>
    <w:rsid w:val="00DE6A04"/>
    <w:rsid w:val="00DE6AAE"/>
    <w:rsid w:val="00DE7265"/>
    <w:rsid w:val="00DE7525"/>
    <w:rsid w:val="00DE7BDC"/>
    <w:rsid w:val="00DF0023"/>
    <w:rsid w:val="00DF048D"/>
    <w:rsid w:val="00DF1251"/>
    <w:rsid w:val="00DF1298"/>
    <w:rsid w:val="00DF1791"/>
    <w:rsid w:val="00DF19C2"/>
    <w:rsid w:val="00DF2065"/>
    <w:rsid w:val="00DF2353"/>
    <w:rsid w:val="00DF2504"/>
    <w:rsid w:val="00DF2C54"/>
    <w:rsid w:val="00DF3837"/>
    <w:rsid w:val="00DF3AB2"/>
    <w:rsid w:val="00DF5E69"/>
    <w:rsid w:val="00DF6677"/>
    <w:rsid w:val="00DF6D87"/>
    <w:rsid w:val="00DF6FBC"/>
    <w:rsid w:val="00DF78B2"/>
    <w:rsid w:val="00DF7D1A"/>
    <w:rsid w:val="00DF7DD5"/>
    <w:rsid w:val="00DF7ED4"/>
    <w:rsid w:val="00E004C5"/>
    <w:rsid w:val="00E0054D"/>
    <w:rsid w:val="00E00898"/>
    <w:rsid w:val="00E0120B"/>
    <w:rsid w:val="00E019BB"/>
    <w:rsid w:val="00E01CB2"/>
    <w:rsid w:val="00E01DD2"/>
    <w:rsid w:val="00E01F63"/>
    <w:rsid w:val="00E020A9"/>
    <w:rsid w:val="00E02546"/>
    <w:rsid w:val="00E02CFF"/>
    <w:rsid w:val="00E02E2F"/>
    <w:rsid w:val="00E03938"/>
    <w:rsid w:val="00E03CBD"/>
    <w:rsid w:val="00E04751"/>
    <w:rsid w:val="00E04877"/>
    <w:rsid w:val="00E04C45"/>
    <w:rsid w:val="00E04D1C"/>
    <w:rsid w:val="00E05501"/>
    <w:rsid w:val="00E0576B"/>
    <w:rsid w:val="00E058EB"/>
    <w:rsid w:val="00E05A89"/>
    <w:rsid w:val="00E05FA9"/>
    <w:rsid w:val="00E0628E"/>
    <w:rsid w:val="00E06460"/>
    <w:rsid w:val="00E06826"/>
    <w:rsid w:val="00E0689E"/>
    <w:rsid w:val="00E073CF"/>
    <w:rsid w:val="00E077AF"/>
    <w:rsid w:val="00E07BA5"/>
    <w:rsid w:val="00E07D93"/>
    <w:rsid w:val="00E10A1F"/>
    <w:rsid w:val="00E10C42"/>
    <w:rsid w:val="00E114D8"/>
    <w:rsid w:val="00E11A2B"/>
    <w:rsid w:val="00E11C13"/>
    <w:rsid w:val="00E11F04"/>
    <w:rsid w:val="00E12535"/>
    <w:rsid w:val="00E12D89"/>
    <w:rsid w:val="00E13113"/>
    <w:rsid w:val="00E13167"/>
    <w:rsid w:val="00E1340B"/>
    <w:rsid w:val="00E13999"/>
    <w:rsid w:val="00E13B9C"/>
    <w:rsid w:val="00E13F81"/>
    <w:rsid w:val="00E14108"/>
    <w:rsid w:val="00E14511"/>
    <w:rsid w:val="00E14BA7"/>
    <w:rsid w:val="00E14C53"/>
    <w:rsid w:val="00E14EE9"/>
    <w:rsid w:val="00E15082"/>
    <w:rsid w:val="00E1516D"/>
    <w:rsid w:val="00E15217"/>
    <w:rsid w:val="00E15282"/>
    <w:rsid w:val="00E1557E"/>
    <w:rsid w:val="00E15B0D"/>
    <w:rsid w:val="00E15D59"/>
    <w:rsid w:val="00E161AD"/>
    <w:rsid w:val="00E16E3C"/>
    <w:rsid w:val="00E17050"/>
    <w:rsid w:val="00E17093"/>
    <w:rsid w:val="00E17F53"/>
    <w:rsid w:val="00E2016B"/>
    <w:rsid w:val="00E21479"/>
    <w:rsid w:val="00E21BA1"/>
    <w:rsid w:val="00E21DB7"/>
    <w:rsid w:val="00E2256E"/>
    <w:rsid w:val="00E24195"/>
    <w:rsid w:val="00E24432"/>
    <w:rsid w:val="00E24567"/>
    <w:rsid w:val="00E24F14"/>
    <w:rsid w:val="00E25124"/>
    <w:rsid w:val="00E25239"/>
    <w:rsid w:val="00E25276"/>
    <w:rsid w:val="00E25A4F"/>
    <w:rsid w:val="00E261F8"/>
    <w:rsid w:val="00E2664B"/>
    <w:rsid w:val="00E26973"/>
    <w:rsid w:val="00E26E57"/>
    <w:rsid w:val="00E27467"/>
    <w:rsid w:val="00E27BC6"/>
    <w:rsid w:val="00E303A9"/>
    <w:rsid w:val="00E3043D"/>
    <w:rsid w:val="00E30536"/>
    <w:rsid w:val="00E30628"/>
    <w:rsid w:val="00E31251"/>
    <w:rsid w:val="00E32231"/>
    <w:rsid w:val="00E324AD"/>
    <w:rsid w:val="00E32623"/>
    <w:rsid w:val="00E32F9A"/>
    <w:rsid w:val="00E33224"/>
    <w:rsid w:val="00E333FB"/>
    <w:rsid w:val="00E3342D"/>
    <w:rsid w:val="00E33683"/>
    <w:rsid w:val="00E33734"/>
    <w:rsid w:val="00E33C47"/>
    <w:rsid w:val="00E33C7F"/>
    <w:rsid w:val="00E33EE3"/>
    <w:rsid w:val="00E3439E"/>
    <w:rsid w:val="00E3440F"/>
    <w:rsid w:val="00E34628"/>
    <w:rsid w:val="00E347F0"/>
    <w:rsid w:val="00E35085"/>
    <w:rsid w:val="00E35094"/>
    <w:rsid w:val="00E35693"/>
    <w:rsid w:val="00E36CFA"/>
    <w:rsid w:val="00E36EB2"/>
    <w:rsid w:val="00E36F56"/>
    <w:rsid w:val="00E377A0"/>
    <w:rsid w:val="00E3788D"/>
    <w:rsid w:val="00E4049A"/>
    <w:rsid w:val="00E4060A"/>
    <w:rsid w:val="00E4083B"/>
    <w:rsid w:val="00E40AEB"/>
    <w:rsid w:val="00E40F9D"/>
    <w:rsid w:val="00E4122C"/>
    <w:rsid w:val="00E417D0"/>
    <w:rsid w:val="00E41A62"/>
    <w:rsid w:val="00E422C4"/>
    <w:rsid w:val="00E425B3"/>
    <w:rsid w:val="00E42EC2"/>
    <w:rsid w:val="00E43330"/>
    <w:rsid w:val="00E4341C"/>
    <w:rsid w:val="00E439F8"/>
    <w:rsid w:val="00E43ABB"/>
    <w:rsid w:val="00E43AD8"/>
    <w:rsid w:val="00E43DC4"/>
    <w:rsid w:val="00E43DF0"/>
    <w:rsid w:val="00E4431C"/>
    <w:rsid w:val="00E44CD4"/>
    <w:rsid w:val="00E455AB"/>
    <w:rsid w:val="00E45B91"/>
    <w:rsid w:val="00E45F20"/>
    <w:rsid w:val="00E460B5"/>
    <w:rsid w:val="00E46B50"/>
    <w:rsid w:val="00E46B92"/>
    <w:rsid w:val="00E46C57"/>
    <w:rsid w:val="00E46D9B"/>
    <w:rsid w:val="00E4715A"/>
    <w:rsid w:val="00E47200"/>
    <w:rsid w:val="00E47385"/>
    <w:rsid w:val="00E50533"/>
    <w:rsid w:val="00E508F6"/>
    <w:rsid w:val="00E50D34"/>
    <w:rsid w:val="00E50ECC"/>
    <w:rsid w:val="00E50F7B"/>
    <w:rsid w:val="00E5176B"/>
    <w:rsid w:val="00E51B5D"/>
    <w:rsid w:val="00E5223D"/>
    <w:rsid w:val="00E528BA"/>
    <w:rsid w:val="00E5399B"/>
    <w:rsid w:val="00E53A72"/>
    <w:rsid w:val="00E53CAB"/>
    <w:rsid w:val="00E54401"/>
    <w:rsid w:val="00E544CA"/>
    <w:rsid w:val="00E54747"/>
    <w:rsid w:val="00E55339"/>
    <w:rsid w:val="00E55538"/>
    <w:rsid w:val="00E55ADF"/>
    <w:rsid w:val="00E565C2"/>
    <w:rsid w:val="00E56E95"/>
    <w:rsid w:val="00E56ECC"/>
    <w:rsid w:val="00E5731F"/>
    <w:rsid w:val="00E57911"/>
    <w:rsid w:val="00E57F9B"/>
    <w:rsid w:val="00E60269"/>
    <w:rsid w:val="00E60586"/>
    <w:rsid w:val="00E605EA"/>
    <w:rsid w:val="00E6073C"/>
    <w:rsid w:val="00E60763"/>
    <w:rsid w:val="00E60C32"/>
    <w:rsid w:val="00E616A2"/>
    <w:rsid w:val="00E627F6"/>
    <w:rsid w:val="00E62F5C"/>
    <w:rsid w:val="00E632C3"/>
    <w:rsid w:val="00E63E8A"/>
    <w:rsid w:val="00E63F1D"/>
    <w:rsid w:val="00E64089"/>
    <w:rsid w:val="00E646D5"/>
    <w:rsid w:val="00E64A75"/>
    <w:rsid w:val="00E64B1B"/>
    <w:rsid w:val="00E65779"/>
    <w:rsid w:val="00E65B3D"/>
    <w:rsid w:val="00E6602D"/>
    <w:rsid w:val="00E6603D"/>
    <w:rsid w:val="00E67336"/>
    <w:rsid w:val="00E67343"/>
    <w:rsid w:val="00E67E86"/>
    <w:rsid w:val="00E70752"/>
    <w:rsid w:val="00E709D8"/>
    <w:rsid w:val="00E7153E"/>
    <w:rsid w:val="00E71650"/>
    <w:rsid w:val="00E71752"/>
    <w:rsid w:val="00E71AFE"/>
    <w:rsid w:val="00E71C28"/>
    <w:rsid w:val="00E71F52"/>
    <w:rsid w:val="00E72289"/>
    <w:rsid w:val="00E72A7F"/>
    <w:rsid w:val="00E72EC2"/>
    <w:rsid w:val="00E732AF"/>
    <w:rsid w:val="00E7372A"/>
    <w:rsid w:val="00E740F5"/>
    <w:rsid w:val="00E74455"/>
    <w:rsid w:val="00E744FC"/>
    <w:rsid w:val="00E74926"/>
    <w:rsid w:val="00E752A1"/>
    <w:rsid w:val="00E753AA"/>
    <w:rsid w:val="00E756EC"/>
    <w:rsid w:val="00E75875"/>
    <w:rsid w:val="00E75955"/>
    <w:rsid w:val="00E75A9D"/>
    <w:rsid w:val="00E75E7C"/>
    <w:rsid w:val="00E76466"/>
    <w:rsid w:val="00E76513"/>
    <w:rsid w:val="00E76670"/>
    <w:rsid w:val="00E76A32"/>
    <w:rsid w:val="00E76C5E"/>
    <w:rsid w:val="00E77925"/>
    <w:rsid w:val="00E803C3"/>
    <w:rsid w:val="00E80872"/>
    <w:rsid w:val="00E80EFB"/>
    <w:rsid w:val="00E81B8E"/>
    <w:rsid w:val="00E81EBF"/>
    <w:rsid w:val="00E81ED7"/>
    <w:rsid w:val="00E8219D"/>
    <w:rsid w:val="00E82EE4"/>
    <w:rsid w:val="00E83371"/>
    <w:rsid w:val="00E8377F"/>
    <w:rsid w:val="00E84955"/>
    <w:rsid w:val="00E8543E"/>
    <w:rsid w:val="00E855CE"/>
    <w:rsid w:val="00E8597F"/>
    <w:rsid w:val="00E8607A"/>
    <w:rsid w:val="00E868A7"/>
    <w:rsid w:val="00E87631"/>
    <w:rsid w:val="00E878BE"/>
    <w:rsid w:val="00E87B69"/>
    <w:rsid w:val="00E87D52"/>
    <w:rsid w:val="00E87F00"/>
    <w:rsid w:val="00E87F4D"/>
    <w:rsid w:val="00E90347"/>
    <w:rsid w:val="00E90555"/>
    <w:rsid w:val="00E907BE"/>
    <w:rsid w:val="00E90F1F"/>
    <w:rsid w:val="00E90FC1"/>
    <w:rsid w:val="00E91504"/>
    <w:rsid w:val="00E91685"/>
    <w:rsid w:val="00E916A9"/>
    <w:rsid w:val="00E91942"/>
    <w:rsid w:val="00E9222C"/>
    <w:rsid w:val="00E9229E"/>
    <w:rsid w:val="00E92D36"/>
    <w:rsid w:val="00E933EB"/>
    <w:rsid w:val="00E93B01"/>
    <w:rsid w:val="00E9439E"/>
    <w:rsid w:val="00E9522B"/>
    <w:rsid w:val="00E9558B"/>
    <w:rsid w:val="00E95D1B"/>
    <w:rsid w:val="00E9623E"/>
    <w:rsid w:val="00E9649D"/>
    <w:rsid w:val="00E969F0"/>
    <w:rsid w:val="00E96A2C"/>
    <w:rsid w:val="00EA009F"/>
    <w:rsid w:val="00EA09FE"/>
    <w:rsid w:val="00EA17C0"/>
    <w:rsid w:val="00EA18E7"/>
    <w:rsid w:val="00EA2523"/>
    <w:rsid w:val="00EA2EFA"/>
    <w:rsid w:val="00EA32BF"/>
    <w:rsid w:val="00EA50D6"/>
    <w:rsid w:val="00EA52B0"/>
    <w:rsid w:val="00EA5714"/>
    <w:rsid w:val="00EA5E1D"/>
    <w:rsid w:val="00EA7662"/>
    <w:rsid w:val="00EB016F"/>
    <w:rsid w:val="00EB0635"/>
    <w:rsid w:val="00EB06EB"/>
    <w:rsid w:val="00EB0798"/>
    <w:rsid w:val="00EB0B50"/>
    <w:rsid w:val="00EB222C"/>
    <w:rsid w:val="00EB2A74"/>
    <w:rsid w:val="00EB33F4"/>
    <w:rsid w:val="00EB3B9C"/>
    <w:rsid w:val="00EB3C8F"/>
    <w:rsid w:val="00EB4242"/>
    <w:rsid w:val="00EB44AE"/>
    <w:rsid w:val="00EB4C04"/>
    <w:rsid w:val="00EB4CA7"/>
    <w:rsid w:val="00EB574E"/>
    <w:rsid w:val="00EB5E24"/>
    <w:rsid w:val="00EB5E87"/>
    <w:rsid w:val="00EB649D"/>
    <w:rsid w:val="00EB6754"/>
    <w:rsid w:val="00EB7714"/>
    <w:rsid w:val="00EB7A49"/>
    <w:rsid w:val="00EB7A4F"/>
    <w:rsid w:val="00EB7C4B"/>
    <w:rsid w:val="00EB7FC4"/>
    <w:rsid w:val="00EC035A"/>
    <w:rsid w:val="00EC0BAD"/>
    <w:rsid w:val="00EC1320"/>
    <w:rsid w:val="00EC1406"/>
    <w:rsid w:val="00EC225B"/>
    <w:rsid w:val="00EC2677"/>
    <w:rsid w:val="00EC2DAB"/>
    <w:rsid w:val="00EC3504"/>
    <w:rsid w:val="00EC36F2"/>
    <w:rsid w:val="00EC40B3"/>
    <w:rsid w:val="00EC4189"/>
    <w:rsid w:val="00EC4338"/>
    <w:rsid w:val="00EC440F"/>
    <w:rsid w:val="00EC44CA"/>
    <w:rsid w:val="00EC476F"/>
    <w:rsid w:val="00EC48D7"/>
    <w:rsid w:val="00EC4B7C"/>
    <w:rsid w:val="00EC4BB6"/>
    <w:rsid w:val="00EC4F33"/>
    <w:rsid w:val="00EC68F4"/>
    <w:rsid w:val="00EC7129"/>
    <w:rsid w:val="00EC779C"/>
    <w:rsid w:val="00ED07A3"/>
    <w:rsid w:val="00ED11C5"/>
    <w:rsid w:val="00ED1924"/>
    <w:rsid w:val="00ED195D"/>
    <w:rsid w:val="00ED1E35"/>
    <w:rsid w:val="00ED2884"/>
    <w:rsid w:val="00ED2C8F"/>
    <w:rsid w:val="00ED2D4A"/>
    <w:rsid w:val="00ED2DB6"/>
    <w:rsid w:val="00ED304F"/>
    <w:rsid w:val="00ED47C8"/>
    <w:rsid w:val="00ED4BF7"/>
    <w:rsid w:val="00ED4FB2"/>
    <w:rsid w:val="00ED507D"/>
    <w:rsid w:val="00ED5A35"/>
    <w:rsid w:val="00ED6F17"/>
    <w:rsid w:val="00ED73C5"/>
    <w:rsid w:val="00ED76F1"/>
    <w:rsid w:val="00ED7BC1"/>
    <w:rsid w:val="00ED7CE7"/>
    <w:rsid w:val="00ED7D18"/>
    <w:rsid w:val="00ED7FFE"/>
    <w:rsid w:val="00EE0EE3"/>
    <w:rsid w:val="00EE24DB"/>
    <w:rsid w:val="00EE24FB"/>
    <w:rsid w:val="00EE2D3F"/>
    <w:rsid w:val="00EE3270"/>
    <w:rsid w:val="00EE3367"/>
    <w:rsid w:val="00EE3730"/>
    <w:rsid w:val="00EE3DA2"/>
    <w:rsid w:val="00EE43C0"/>
    <w:rsid w:val="00EE4452"/>
    <w:rsid w:val="00EE4C7E"/>
    <w:rsid w:val="00EE5006"/>
    <w:rsid w:val="00EE51DB"/>
    <w:rsid w:val="00EE556D"/>
    <w:rsid w:val="00EE5713"/>
    <w:rsid w:val="00EE5DBE"/>
    <w:rsid w:val="00EE604D"/>
    <w:rsid w:val="00EE6128"/>
    <w:rsid w:val="00EE6184"/>
    <w:rsid w:val="00EE658A"/>
    <w:rsid w:val="00EE7607"/>
    <w:rsid w:val="00EE76AD"/>
    <w:rsid w:val="00EE7A2C"/>
    <w:rsid w:val="00EE7BEB"/>
    <w:rsid w:val="00EF0209"/>
    <w:rsid w:val="00EF0F3B"/>
    <w:rsid w:val="00EF1A43"/>
    <w:rsid w:val="00EF20F2"/>
    <w:rsid w:val="00EF2141"/>
    <w:rsid w:val="00EF2240"/>
    <w:rsid w:val="00EF2596"/>
    <w:rsid w:val="00EF3069"/>
    <w:rsid w:val="00EF30C3"/>
    <w:rsid w:val="00EF3482"/>
    <w:rsid w:val="00EF389A"/>
    <w:rsid w:val="00EF3A6B"/>
    <w:rsid w:val="00EF3DE5"/>
    <w:rsid w:val="00EF4473"/>
    <w:rsid w:val="00EF4707"/>
    <w:rsid w:val="00EF470B"/>
    <w:rsid w:val="00EF4BC0"/>
    <w:rsid w:val="00EF4C4E"/>
    <w:rsid w:val="00EF51B0"/>
    <w:rsid w:val="00EF576E"/>
    <w:rsid w:val="00EF57A5"/>
    <w:rsid w:val="00EF5811"/>
    <w:rsid w:val="00EF5987"/>
    <w:rsid w:val="00EF5A8E"/>
    <w:rsid w:val="00EF6556"/>
    <w:rsid w:val="00EF6F14"/>
    <w:rsid w:val="00F012A8"/>
    <w:rsid w:val="00F01733"/>
    <w:rsid w:val="00F01CA0"/>
    <w:rsid w:val="00F020BB"/>
    <w:rsid w:val="00F0319D"/>
    <w:rsid w:val="00F0385E"/>
    <w:rsid w:val="00F04E2E"/>
    <w:rsid w:val="00F05AA6"/>
    <w:rsid w:val="00F05C43"/>
    <w:rsid w:val="00F066C8"/>
    <w:rsid w:val="00F06C0B"/>
    <w:rsid w:val="00F07089"/>
    <w:rsid w:val="00F07BE2"/>
    <w:rsid w:val="00F07C24"/>
    <w:rsid w:val="00F07F28"/>
    <w:rsid w:val="00F10548"/>
    <w:rsid w:val="00F105A7"/>
    <w:rsid w:val="00F106F3"/>
    <w:rsid w:val="00F11001"/>
    <w:rsid w:val="00F11DDA"/>
    <w:rsid w:val="00F12005"/>
    <w:rsid w:val="00F121E5"/>
    <w:rsid w:val="00F1232F"/>
    <w:rsid w:val="00F12994"/>
    <w:rsid w:val="00F12D86"/>
    <w:rsid w:val="00F12DF2"/>
    <w:rsid w:val="00F13058"/>
    <w:rsid w:val="00F134E3"/>
    <w:rsid w:val="00F13B05"/>
    <w:rsid w:val="00F13F47"/>
    <w:rsid w:val="00F142D6"/>
    <w:rsid w:val="00F14A46"/>
    <w:rsid w:val="00F15347"/>
    <w:rsid w:val="00F15451"/>
    <w:rsid w:val="00F154D4"/>
    <w:rsid w:val="00F15553"/>
    <w:rsid w:val="00F15AF2"/>
    <w:rsid w:val="00F15D23"/>
    <w:rsid w:val="00F15F1E"/>
    <w:rsid w:val="00F1643F"/>
    <w:rsid w:val="00F16E49"/>
    <w:rsid w:val="00F177C6"/>
    <w:rsid w:val="00F178AB"/>
    <w:rsid w:val="00F2034E"/>
    <w:rsid w:val="00F20EA1"/>
    <w:rsid w:val="00F20F16"/>
    <w:rsid w:val="00F21290"/>
    <w:rsid w:val="00F21528"/>
    <w:rsid w:val="00F21A4C"/>
    <w:rsid w:val="00F2214E"/>
    <w:rsid w:val="00F231A1"/>
    <w:rsid w:val="00F235C1"/>
    <w:rsid w:val="00F23DBA"/>
    <w:rsid w:val="00F23E5B"/>
    <w:rsid w:val="00F23F33"/>
    <w:rsid w:val="00F245E6"/>
    <w:rsid w:val="00F24A7D"/>
    <w:rsid w:val="00F24EE9"/>
    <w:rsid w:val="00F25334"/>
    <w:rsid w:val="00F254AF"/>
    <w:rsid w:val="00F25EC4"/>
    <w:rsid w:val="00F26092"/>
    <w:rsid w:val="00F26538"/>
    <w:rsid w:val="00F26808"/>
    <w:rsid w:val="00F268A4"/>
    <w:rsid w:val="00F26EE2"/>
    <w:rsid w:val="00F27AB2"/>
    <w:rsid w:val="00F307CC"/>
    <w:rsid w:val="00F30BBA"/>
    <w:rsid w:val="00F30D4A"/>
    <w:rsid w:val="00F310BB"/>
    <w:rsid w:val="00F313CE"/>
    <w:rsid w:val="00F31584"/>
    <w:rsid w:val="00F31630"/>
    <w:rsid w:val="00F329CE"/>
    <w:rsid w:val="00F3322B"/>
    <w:rsid w:val="00F338B2"/>
    <w:rsid w:val="00F3467A"/>
    <w:rsid w:val="00F34A95"/>
    <w:rsid w:val="00F34C99"/>
    <w:rsid w:val="00F34F03"/>
    <w:rsid w:val="00F352FD"/>
    <w:rsid w:val="00F35CF9"/>
    <w:rsid w:val="00F36007"/>
    <w:rsid w:val="00F3623B"/>
    <w:rsid w:val="00F367AD"/>
    <w:rsid w:val="00F36FED"/>
    <w:rsid w:val="00F37072"/>
    <w:rsid w:val="00F4094B"/>
    <w:rsid w:val="00F40BB5"/>
    <w:rsid w:val="00F40CF9"/>
    <w:rsid w:val="00F40F5F"/>
    <w:rsid w:val="00F41AB6"/>
    <w:rsid w:val="00F41E9A"/>
    <w:rsid w:val="00F421DD"/>
    <w:rsid w:val="00F4221B"/>
    <w:rsid w:val="00F4233C"/>
    <w:rsid w:val="00F428FA"/>
    <w:rsid w:val="00F439BB"/>
    <w:rsid w:val="00F43FCA"/>
    <w:rsid w:val="00F444AF"/>
    <w:rsid w:val="00F44640"/>
    <w:rsid w:val="00F449D7"/>
    <w:rsid w:val="00F44F7B"/>
    <w:rsid w:val="00F45443"/>
    <w:rsid w:val="00F455B8"/>
    <w:rsid w:val="00F457B5"/>
    <w:rsid w:val="00F45F5E"/>
    <w:rsid w:val="00F461AE"/>
    <w:rsid w:val="00F46B1C"/>
    <w:rsid w:val="00F46CA0"/>
    <w:rsid w:val="00F46D8C"/>
    <w:rsid w:val="00F46F7C"/>
    <w:rsid w:val="00F4708A"/>
    <w:rsid w:val="00F47D6C"/>
    <w:rsid w:val="00F51106"/>
    <w:rsid w:val="00F51A00"/>
    <w:rsid w:val="00F51B37"/>
    <w:rsid w:val="00F51B88"/>
    <w:rsid w:val="00F52A4C"/>
    <w:rsid w:val="00F534D3"/>
    <w:rsid w:val="00F534ED"/>
    <w:rsid w:val="00F53968"/>
    <w:rsid w:val="00F53BAF"/>
    <w:rsid w:val="00F5421D"/>
    <w:rsid w:val="00F54895"/>
    <w:rsid w:val="00F54A93"/>
    <w:rsid w:val="00F54BBD"/>
    <w:rsid w:val="00F55A8B"/>
    <w:rsid w:val="00F562BE"/>
    <w:rsid w:val="00F567A9"/>
    <w:rsid w:val="00F570FA"/>
    <w:rsid w:val="00F57EE5"/>
    <w:rsid w:val="00F60458"/>
    <w:rsid w:val="00F60DF3"/>
    <w:rsid w:val="00F61026"/>
    <w:rsid w:val="00F613D5"/>
    <w:rsid w:val="00F61567"/>
    <w:rsid w:val="00F61A2E"/>
    <w:rsid w:val="00F62057"/>
    <w:rsid w:val="00F62582"/>
    <w:rsid w:val="00F633BD"/>
    <w:rsid w:val="00F638C6"/>
    <w:rsid w:val="00F63998"/>
    <w:rsid w:val="00F63C51"/>
    <w:rsid w:val="00F646A6"/>
    <w:rsid w:val="00F64DC6"/>
    <w:rsid w:val="00F64F14"/>
    <w:rsid w:val="00F658CB"/>
    <w:rsid w:val="00F65BCB"/>
    <w:rsid w:val="00F6620A"/>
    <w:rsid w:val="00F66623"/>
    <w:rsid w:val="00F66D31"/>
    <w:rsid w:val="00F67567"/>
    <w:rsid w:val="00F676A7"/>
    <w:rsid w:val="00F67C01"/>
    <w:rsid w:val="00F67C2B"/>
    <w:rsid w:val="00F70B77"/>
    <w:rsid w:val="00F7114B"/>
    <w:rsid w:val="00F71E7A"/>
    <w:rsid w:val="00F721EF"/>
    <w:rsid w:val="00F72203"/>
    <w:rsid w:val="00F72301"/>
    <w:rsid w:val="00F72424"/>
    <w:rsid w:val="00F72599"/>
    <w:rsid w:val="00F72AC2"/>
    <w:rsid w:val="00F72BF8"/>
    <w:rsid w:val="00F73A93"/>
    <w:rsid w:val="00F74168"/>
    <w:rsid w:val="00F742F1"/>
    <w:rsid w:val="00F747FA"/>
    <w:rsid w:val="00F74871"/>
    <w:rsid w:val="00F756F9"/>
    <w:rsid w:val="00F76037"/>
    <w:rsid w:val="00F77724"/>
    <w:rsid w:val="00F7772A"/>
    <w:rsid w:val="00F77839"/>
    <w:rsid w:val="00F77995"/>
    <w:rsid w:val="00F77AB9"/>
    <w:rsid w:val="00F8097D"/>
    <w:rsid w:val="00F810FE"/>
    <w:rsid w:val="00F811B9"/>
    <w:rsid w:val="00F815CC"/>
    <w:rsid w:val="00F818AC"/>
    <w:rsid w:val="00F81A57"/>
    <w:rsid w:val="00F8246A"/>
    <w:rsid w:val="00F8285E"/>
    <w:rsid w:val="00F83ED9"/>
    <w:rsid w:val="00F84A25"/>
    <w:rsid w:val="00F856ED"/>
    <w:rsid w:val="00F8574D"/>
    <w:rsid w:val="00F85DEC"/>
    <w:rsid w:val="00F85EDA"/>
    <w:rsid w:val="00F86150"/>
    <w:rsid w:val="00F8615F"/>
    <w:rsid w:val="00F8629B"/>
    <w:rsid w:val="00F86D4E"/>
    <w:rsid w:val="00F86E6F"/>
    <w:rsid w:val="00F87BEF"/>
    <w:rsid w:val="00F90296"/>
    <w:rsid w:val="00F902F3"/>
    <w:rsid w:val="00F90C13"/>
    <w:rsid w:val="00F90DD7"/>
    <w:rsid w:val="00F91164"/>
    <w:rsid w:val="00F91524"/>
    <w:rsid w:val="00F921D4"/>
    <w:rsid w:val="00F9270B"/>
    <w:rsid w:val="00F92AB1"/>
    <w:rsid w:val="00F92B0F"/>
    <w:rsid w:val="00F92F53"/>
    <w:rsid w:val="00F93043"/>
    <w:rsid w:val="00F93D6C"/>
    <w:rsid w:val="00F93F86"/>
    <w:rsid w:val="00F93FCF"/>
    <w:rsid w:val="00F94068"/>
    <w:rsid w:val="00F9438E"/>
    <w:rsid w:val="00F9489A"/>
    <w:rsid w:val="00F95284"/>
    <w:rsid w:val="00F9536B"/>
    <w:rsid w:val="00F963DB"/>
    <w:rsid w:val="00F9684A"/>
    <w:rsid w:val="00F96A71"/>
    <w:rsid w:val="00F96ACA"/>
    <w:rsid w:val="00F96D24"/>
    <w:rsid w:val="00F97BFD"/>
    <w:rsid w:val="00FA02C5"/>
    <w:rsid w:val="00FA1AEC"/>
    <w:rsid w:val="00FA1E97"/>
    <w:rsid w:val="00FA26E3"/>
    <w:rsid w:val="00FA2C69"/>
    <w:rsid w:val="00FA3465"/>
    <w:rsid w:val="00FA44FB"/>
    <w:rsid w:val="00FA52E3"/>
    <w:rsid w:val="00FA5580"/>
    <w:rsid w:val="00FA5BFC"/>
    <w:rsid w:val="00FA5F42"/>
    <w:rsid w:val="00FA620B"/>
    <w:rsid w:val="00FA6361"/>
    <w:rsid w:val="00FA69C3"/>
    <w:rsid w:val="00FA69E4"/>
    <w:rsid w:val="00FA6AAC"/>
    <w:rsid w:val="00FA6CBC"/>
    <w:rsid w:val="00FA6D48"/>
    <w:rsid w:val="00FA7D6A"/>
    <w:rsid w:val="00FA7EC0"/>
    <w:rsid w:val="00FA7FAB"/>
    <w:rsid w:val="00FB0BB2"/>
    <w:rsid w:val="00FB1582"/>
    <w:rsid w:val="00FB16C0"/>
    <w:rsid w:val="00FB1938"/>
    <w:rsid w:val="00FB1F1F"/>
    <w:rsid w:val="00FB2648"/>
    <w:rsid w:val="00FB349A"/>
    <w:rsid w:val="00FB38BE"/>
    <w:rsid w:val="00FB3E1A"/>
    <w:rsid w:val="00FB4B50"/>
    <w:rsid w:val="00FB4E5B"/>
    <w:rsid w:val="00FB54ED"/>
    <w:rsid w:val="00FB5808"/>
    <w:rsid w:val="00FB5BD6"/>
    <w:rsid w:val="00FB6DFE"/>
    <w:rsid w:val="00FB7E3B"/>
    <w:rsid w:val="00FC010A"/>
    <w:rsid w:val="00FC072E"/>
    <w:rsid w:val="00FC0921"/>
    <w:rsid w:val="00FC11A9"/>
    <w:rsid w:val="00FC1C6F"/>
    <w:rsid w:val="00FC266E"/>
    <w:rsid w:val="00FC2A9C"/>
    <w:rsid w:val="00FC2DC6"/>
    <w:rsid w:val="00FC30E2"/>
    <w:rsid w:val="00FC31EF"/>
    <w:rsid w:val="00FC3A30"/>
    <w:rsid w:val="00FC3B2B"/>
    <w:rsid w:val="00FC3E24"/>
    <w:rsid w:val="00FC459E"/>
    <w:rsid w:val="00FC5249"/>
    <w:rsid w:val="00FC551E"/>
    <w:rsid w:val="00FC5790"/>
    <w:rsid w:val="00FC5D6A"/>
    <w:rsid w:val="00FC656F"/>
    <w:rsid w:val="00FC6969"/>
    <w:rsid w:val="00FC6A12"/>
    <w:rsid w:val="00FC6B94"/>
    <w:rsid w:val="00FC6D98"/>
    <w:rsid w:val="00FC6DD7"/>
    <w:rsid w:val="00FC759D"/>
    <w:rsid w:val="00FC7CE7"/>
    <w:rsid w:val="00FD039F"/>
    <w:rsid w:val="00FD05B4"/>
    <w:rsid w:val="00FD09BE"/>
    <w:rsid w:val="00FD1153"/>
    <w:rsid w:val="00FD13D5"/>
    <w:rsid w:val="00FD1995"/>
    <w:rsid w:val="00FD25E1"/>
    <w:rsid w:val="00FD2716"/>
    <w:rsid w:val="00FD29EE"/>
    <w:rsid w:val="00FD32CB"/>
    <w:rsid w:val="00FD3C86"/>
    <w:rsid w:val="00FD3CAB"/>
    <w:rsid w:val="00FD40FF"/>
    <w:rsid w:val="00FD5475"/>
    <w:rsid w:val="00FD56F2"/>
    <w:rsid w:val="00FD5E1C"/>
    <w:rsid w:val="00FD62EB"/>
    <w:rsid w:val="00FD6327"/>
    <w:rsid w:val="00FD63DF"/>
    <w:rsid w:val="00FD6852"/>
    <w:rsid w:val="00FD7339"/>
    <w:rsid w:val="00FD7945"/>
    <w:rsid w:val="00FE02C1"/>
    <w:rsid w:val="00FE0B54"/>
    <w:rsid w:val="00FE0B5C"/>
    <w:rsid w:val="00FE0DF4"/>
    <w:rsid w:val="00FE1880"/>
    <w:rsid w:val="00FE1B0B"/>
    <w:rsid w:val="00FE1EB0"/>
    <w:rsid w:val="00FE2075"/>
    <w:rsid w:val="00FE225A"/>
    <w:rsid w:val="00FE2349"/>
    <w:rsid w:val="00FE23B0"/>
    <w:rsid w:val="00FE23C1"/>
    <w:rsid w:val="00FE3963"/>
    <w:rsid w:val="00FE3F8E"/>
    <w:rsid w:val="00FE47ED"/>
    <w:rsid w:val="00FE4AAD"/>
    <w:rsid w:val="00FE5330"/>
    <w:rsid w:val="00FE61DC"/>
    <w:rsid w:val="00FE67D0"/>
    <w:rsid w:val="00FE6D54"/>
    <w:rsid w:val="00FE6F1C"/>
    <w:rsid w:val="00FE7B01"/>
    <w:rsid w:val="00FE7D26"/>
    <w:rsid w:val="00FF00BF"/>
    <w:rsid w:val="00FF081E"/>
    <w:rsid w:val="00FF09FE"/>
    <w:rsid w:val="00FF1187"/>
    <w:rsid w:val="00FF145C"/>
    <w:rsid w:val="00FF1BBA"/>
    <w:rsid w:val="00FF2151"/>
    <w:rsid w:val="00FF2318"/>
    <w:rsid w:val="00FF26EE"/>
    <w:rsid w:val="00FF2E59"/>
    <w:rsid w:val="00FF2EC1"/>
    <w:rsid w:val="00FF3102"/>
    <w:rsid w:val="00FF3329"/>
    <w:rsid w:val="00FF3F22"/>
    <w:rsid w:val="00FF41D8"/>
    <w:rsid w:val="00FF47A3"/>
    <w:rsid w:val="00FF4D23"/>
    <w:rsid w:val="00FF602B"/>
    <w:rsid w:val="00FF6353"/>
    <w:rsid w:val="00FF704A"/>
    <w:rsid w:val="00FF7877"/>
    <w:rsid w:val="04E43690"/>
    <w:rsid w:val="050B5BFB"/>
    <w:rsid w:val="051B11D1"/>
    <w:rsid w:val="072C5330"/>
    <w:rsid w:val="07340F1A"/>
    <w:rsid w:val="089B133B"/>
    <w:rsid w:val="09513A57"/>
    <w:rsid w:val="0C16764C"/>
    <w:rsid w:val="0E040C9C"/>
    <w:rsid w:val="0F1F4787"/>
    <w:rsid w:val="0F411393"/>
    <w:rsid w:val="0FC02D69"/>
    <w:rsid w:val="10162458"/>
    <w:rsid w:val="10943FD7"/>
    <w:rsid w:val="1136492E"/>
    <w:rsid w:val="128C5132"/>
    <w:rsid w:val="13BA1233"/>
    <w:rsid w:val="16383691"/>
    <w:rsid w:val="16487C35"/>
    <w:rsid w:val="18545720"/>
    <w:rsid w:val="1911019B"/>
    <w:rsid w:val="1A992A47"/>
    <w:rsid w:val="1E9F4F69"/>
    <w:rsid w:val="207C5A20"/>
    <w:rsid w:val="21D470A4"/>
    <w:rsid w:val="2546348B"/>
    <w:rsid w:val="258C3E08"/>
    <w:rsid w:val="25CE7C9D"/>
    <w:rsid w:val="26935475"/>
    <w:rsid w:val="27EE7CAA"/>
    <w:rsid w:val="2BE22957"/>
    <w:rsid w:val="2C4043F7"/>
    <w:rsid w:val="2CE02D3C"/>
    <w:rsid w:val="2FBF2B61"/>
    <w:rsid w:val="3515499C"/>
    <w:rsid w:val="395E0670"/>
    <w:rsid w:val="39BA1C0D"/>
    <w:rsid w:val="39D36D26"/>
    <w:rsid w:val="3B1B67C0"/>
    <w:rsid w:val="3B8E72AD"/>
    <w:rsid w:val="3BCE1720"/>
    <w:rsid w:val="41596A0C"/>
    <w:rsid w:val="49A13EF7"/>
    <w:rsid w:val="4A9B7D2C"/>
    <w:rsid w:val="4EDA328F"/>
    <w:rsid w:val="505B7AE8"/>
    <w:rsid w:val="50687DC1"/>
    <w:rsid w:val="510E111F"/>
    <w:rsid w:val="515B2F08"/>
    <w:rsid w:val="548E2389"/>
    <w:rsid w:val="59C77D48"/>
    <w:rsid w:val="59FB255F"/>
    <w:rsid w:val="5CB365CA"/>
    <w:rsid w:val="5CCF337F"/>
    <w:rsid w:val="5CF65057"/>
    <w:rsid w:val="5E5B1E2F"/>
    <w:rsid w:val="600E08A4"/>
    <w:rsid w:val="602266C2"/>
    <w:rsid w:val="60B237B0"/>
    <w:rsid w:val="61302D2A"/>
    <w:rsid w:val="64501C4C"/>
    <w:rsid w:val="663A558D"/>
    <w:rsid w:val="685F6710"/>
    <w:rsid w:val="68E06D8C"/>
    <w:rsid w:val="6A2F3408"/>
    <w:rsid w:val="6E524127"/>
    <w:rsid w:val="6ECB5A04"/>
    <w:rsid w:val="6EEA7213"/>
    <w:rsid w:val="6FBE4F05"/>
    <w:rsid w:val="7044751B"/>
    <w:rsid w:val="721462D1"/>
    <w:rsid w:val="731B49E6"/>
    <w:rsid w:val="741E767C"/>
    <w:rsid w:val="75643646"/>
    <w:rsid w:val="75742EAC"/>
    <w:rsid w:val="76571985"/>
    <w:rsid w:val="774E5DBC"/>
    <w:rsid w:val="7A424055"/>
    <w:rsid w:val="7CA85546"/>
    <w:rsid w:val="7D1022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qFormat="1" w:unhideWhenUsed="0" w:uiPriority="0" w:semiHidden="0" w:name="toa heading"/>
    <w:lsdException w:uiPriority="0" w:name="List"/>
    <w:lsdException w:qFormat="1"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fill="FFFFFF"/>
      <w:tabs>
        <w:tab w:val="left" w:pos="426"/>
      </w:tabs>
      <w:adjustRightInd w:val="0"/>
      <w:snapToGrid w:val="0"/>
      <w:spacing w:line="360" w:lineRule="auto"/>
      <w:jc w:val="both"/>
    </w:pPr>
    <w:rPr>
      <w:rFonts w:ascii="宋体" w:hAnsi="宋体" w:eastAsia="宋体" w:cs="宋体"/>
      <w:sz w:val="21"/>
      <w:szCs w:val="24"/>
      <w:lang w:val="en-US" w:eastAsia="zh-CN" w:bidi="ar-SA"/>
    </w:rPr>
  </w:style>
  <w:style w:type="paragraph" w:styleId="2">
    <w:name w:val="heading 1"/>
    <w:basedOn w:val="3"/>
    <w:next w:val="1"/>
    <w:link w:val="57"/>
    <w:qFormat/>
    <w:uiPriority w:val="0"/>
    <w:pPr>
      <w:keepNext w:val="0"/>
      <w:keepLines w:val="0"/>
      <w:tabs>
        <w:tab w:val="left" w:pos="426"/>
      </w:tabs>
      <w:spacing w:before="340" w:after="330" w:line="300" w:lineRule="auto"/>
      <w:jc w:val="center"/>
      <w:outlineLvl w:val="0"/>
    </w:pPr>
    <w:rPr>
      <w:rFonts w:eastAsia="黑体"/>
      <w:kern w:val="44"/>
      <w:sz w:val="28"/>
      <w:szCs w:val="28"/>
    </w:rPr>
  </w:style>
  <w:style w:type="paragraph" w:styleId="5">
    <w:name w:val="heading 2"/>
    <w:basedOn w:val="3"/>
    <w:next w:val="4"/>
    <w:link w:val="287"/>
    <w:qFormat/>
    <w:uiPriority w:val="9"/>
    <w:pPr>
      <w:tabs>
        <w:tab w:val="left" w:pos="426"/>
      </w:tabs>
      <w:textAlignment w:val="baseline"/>
      <w:outlineLvl w:val="1"/>
    </w:pPr>
    <w:rPr>
      <w:bCs w:val="0"/>
      <w:kern w:val="0"/>
      <w:szCs w:val="20"/>
    </w:rPr>
  </w:style>
  <w:style w:type="paragraph" w:styleId="3">
    <w:name w:val="heading 3"/>
    <w:basedOn w:val="4"/>
    <w:next w:val="1"/>
    <w:link w:val="56"/>
    <w:qFormat/>
    <w:uiPriority w:val="0"/>
    <w:pPr>
      <w:tabs>
        <w:tab w:val="left" w:pos="426"/>
      </w:tabs>
      <w:spacing w:before="260" w:after="260" w:line="240" w:lineRule="auto"/>
      <w:outlineLvl w:val="2"/>
    </w:pPr>
    <w:rPr>
      <w:rFonts w:ascii="宋体" w:hAnsi="宋体" w:eastAsia="宋体"/>
      <w:sz w:val="24"/>
      <w:szCs w:val="32"/>
    </w:rPr>
  </w:style>
  <w:style w:type="paragraph" w:styleId="4">
    <w:name w:val="heading 4"/>
    <w:basedOn w:val="1"/>
    <w:next w:val="1"/>
    <w:link w:val="54"/>
    <w:qFormat/>
    <w:uiPriority w:val="0"/>
    <w:pPr>
      <w:keepNext/>
      <w:keepLines/>
      <w:spacing w:before="280" w:after="290" w:line="376" w:lineRule="auto"/>
      <w:outlineLvl w:val="3"/>
    </w:pPr>
    <w:rPr>
      <w:rFonts w:ascii="Arial" w:hAnsi="Arial" w:eastAsia="黑体" w:cs="Times New Roman"/>
      <w:b/>
      <w:bCs/>
      <w:kern w:val="2"/>
      <w:sz w:val="28"/>
      <w:szCs w:val="28"/>
    </w:rPr>
  </w:style>
  <w:style w:type="paragraph" w:styleId="6">
    <w:name w:val="heading 5"/>
    <w:basedOn w:val="1"/>
    <w:next w:val="7"/>
    <w:link w:val="118"/>
    <w:qFormat/>
    <w:uiPriority w:val="0"/>
    <w:pPr>
      <w:keepNext/>
      <w:keepLines/>
      <w:spacing w:before="280" w:after="290" w:line="376" w:lineRule="auto"/>
      <w:jc w:val="center"/>
      <w:outlineLvl w:val="4"/>
    </w:pPr>
    <w:rPr>
      <w:rFonts w:ascii="Times New Roman" w:hAnsi="Times New Roman" w:cs="Times New Roman"/>
      <w:b/>
      <w:kern w:val="2"/>
      <w:sz w:val="24"/>
      <w:szCs w:val="20"/>
    </w:rPr>
  </w:style>
  <w:style w:type="paragraph" w:styleId="8">
    <w:name w:val="heading 6"/>
    <w:basedOn w:val="1"/>
    <w:next w:val="7"/>
    <w:link w:val="119"/>
    <w:qFormat/>
    <w:uiPriority w:val="0"/>
    <w:pPr>
      <w:keepNext/>
      <w:keepLines/>
      <w:spacing w:before="240" w:after="64" w:line="320" w:lineRule="auto"/>
      <w:outlineLvl w:val="5"/>
    </w:pPr>
    <w:rPr>
      <w:rFonts w:ascii="Arial" w:hAnsi="Arial" w:eastAsia="黑体" w:cs="Times New Roman"/>
      <w:b/>
      <w:kern w:val="2"/>
      <w:sz w:val="24"/>
      <w:szCs w:val="20"/>
    </w:rPr>
  </w:style>
  <w:style w:type="paragraph" w:styleId="9">
    <w:name w:val="heading 7"/>
    <w:basedOn w:val="1"/>
    <w:next w:val="7"/>
    <w:link w:val="120"/>
    <w:qFormat/>
    <w:uiPriority w:val="0"/>
    <w:pPr>
      <w:keepNext/>
      <w:keepLines/>
      <w:spacing w:before="240" w:after="64" w:line="320" w:lineRule="auto"/>
      <w:outlineLvl w:val="6"/>
    </w:pPr>
    <w:rPr>
      <w:rFonts w:ascii="Times New Roman" w:hAnsi="Times New Roman" w:cs="Times New Roman"/>
      <w:b/>
      <w:kern w:val="2"/>
      <w:sz w:val="24"/>
      <w:szCs w:val="20"/>
    </w:rPr>
  </w:style>
  <w:style w:type="paragraph" w:styleId="10">
    <w:name w:val="heading 8"/>
    <w:basedOn w:val="1"/>
    <w:next w:val="7"/>
    <w:link w:val="121"/>
    <w:qFormat/>
    <w:uiPriority w:val="0"/>
    <w:pPr>
      <w:keepNext/>
      <w:keepLines/>
      <w:spacing w:before="240" w:after="64" w:line="320" w:lineRule="auto"/>
      <w:outlineLvl w:val="7"/>
    </w:pPr>
    <w:rPr>
      <w:rFonts w:ascii="Arial" w:hAnsi="Arial" w:eastAsia="黑体" w:cs="Times New Roman"/>
      <w:kern w:val="2"/>
      <w:sz w:val="24"/>
      <w:szCs w:val="20"/>
    </w:rPr>
  </w:style>
  <w:style w:type="paragraph" w:styleId="11">
    <w:name w:val="heading 9"/>
    <w:basedOn w:val="1"/>
    <w:next w:val="7"/>
    <w:link w:val="122"/>
    <w:qFormat/>
    <w:uiPriority w:val="0"/>
    <w:pPr>
      <w:keepNext/>
      <w:keepLines/>
      <w:spacing w:before="240" w:after="64" w:line="320" w:lineRule="auto"/>
      <w:outlineLvl w:val="8"/>
    </w:pPr>
    <w:rPr>
      <w:rFonts w:ascii="Arial" w:hAnsi="Arial" w:eastAsia="黑体" w:cs="Times New Roman"/>
      <w:kern w:val="2"/>
      <w:szCs w:val="20"/>
    </w:rPr>
  </w:style>
  <w:style w:type="character" w:default="1" w:styleId="47">
    <w:name w:val="Default Paragraph Font"/>
    <w:semiHidden/>
    <w:unhideWhenUsed/>
    <w:qFormat/>
    <w:uiPriority w:val="1"/>
  </w:style>
  <w:style w:type="table" w:default="1" w:styleId="44">
    <w:name w:val="Normal Table"/>
    <w:semiHidden/>
    <w:unhideWhenUsed/>
    <w:qFormat/>
    <w:uiPriority w:val="99"/>
    <w:tblPr>
      <w:tblLayout w:type="fixed"/>
      <w:tblCellMar>
        <w:top w:w="0" w:type="dxa"/>
        <w:left w:w="108" w:type="dxa"/>
        <w:bottom w:w="0" w:type="dxa"/>
        <w:right w:w="108" w:type="dxa"/>
      </w:tblCellMar>
    </w:tblPr>
  </w:style>
  <w:style w:type="paragraph" w:styleId="7">
    <w:name w:val="Normal Indent"/>
    <w:basedOn w:val="1"/>
    <w:link w:val="58"/>
    <w:qFormat/>
    <w:uiPriority w:val="0"/>
    <w:pPr>
      <w:ind w:firstLine="420"/>
    </w:pPr>
    <w:rPr>
      <w:rFonts w:ascii="Times New Roman" w:hAnsi="Times New Roman" w:cs="Times New Roman"/>
      <w:kern w:val="2"/>
      <w:szCs w:val="20"/>
    </w:r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numPr>
        <w:ilvl w:val="0"/>
        <w:numId w:val="1"/>
      </w:numPr>
      <w:tabs>
        <w:tab w:val="left" w:pos="820"/>
      </w:tabs>
      <w:spacing w:afterLines="50"/>
    </w:pPr>
    <w:rPr>
      <w:sz w:val="24"/>
      <w:szCs w:val="20"/>
    </w:rPr>
  </w:style>
  <w:style w:type="paragraph" w:styleId="14">
    <w:name w:val="caption"/>
    <w:basedOn w:val="1"/>
    <w:next w:val="1"/>
    <w:qFormat/>
    <w:uiPriority w:val="0"/>
    <w:rPr>
      <w:rFonts w:ascii="Arial" w:hAnsi="Arial" w:eastAsia="黑体" w:cs="Arial"/>
      <w:sz w:val="20"/>
      <w:szCs w:val="20"/>
    </w:rPr>
  </w:style>
  <w:style w:type="paragraph" w:styleId="15">
    <w:name w:val="List Bullet"/>
    <w:basedOn w:val="1"/>
    <w:qFormat/>
    <w:uiPriority w:val="0"/>
    <w:pPr>
      <w:tabs>
        <w:tab w:val="left" w:pos="360"/>
      </w:tabs>
      <w:ind w:left="360" w:hanging="360" w:hangingChars="200"/>
    </w:pPr>
    <w:rPr>
      <w:szCs w:val="20"/>
    </w:rPr>
  </w:style>
  <w:style w:type="paragraph" w:styleId="16">
    <w:name w:val="Document Map"/>
    <w:basedOn w:val="1"/>
    <w:link w:val="111"/>
    <w:semiHidden/>
    <w:qFormat/>
    <w:uiPriority w:val="0"/>
    <w:pPr>
      <w:shd w:val="clear" w:color="auto" w:fill="000080"/>
    </w:pPr>
    <w:rPr>
      <w:rFonts w:ascii="Times New Roman" w:hAnsi="Times New Roman" w:cs="Times New Roman"/>
      <w:kern w:val="2"/>
    </w:rPr>
  </w:style>
  <w:style w:type="paragraph" w:styleId="17">
    <w:name w:val="toa heading"/>
    <w:basedOn w:val="1"/>
    <w:next w:val="1"/>
    <w:qFormat/>
    <w:uiPriority w:val="0"/>
    <w:pPr>
      <w:spacing w:before="120"/>
    </w:pPr>
    <w:rPr>
      <w:rFonts w:ascii="Arial" w:hAnsi="Arial"/>
      <w:sz w:val="24"/>
      <w:szCs w:val="20"/>
    </w:rPr>
  </w:style>
  <w:style w:type="paragraph" w:styleId="18">
    <w:name w:val="annotation text"/>
    <w:basedOn w:val="1"/>
    <w:link w:val="72"/>
    <w:qFormat/>
    <w:uiPriority w:val="0"/>
    <w:pPr>
      <w:autoSpaceDE w:val="0"/>
      <w:autoSpaceDN w:val="0"/>
      <w:jc w:val="left"/>
      <w:textAlignment w:val="baseline"/>
    </w:pPr>
    <w:rPr>
      <w:rFonts w:hAnsi="Times New Roman" w:cs="Times New Roman"/>
      <w:sz w:val="34"/>
      <w:szCs w:val="20"/>
    </w:rPr>
  </w:style>
  <w:style w:type="paragraph" w:styleId="19">
    <w:name w:val="Body Text 3"/>
    <w:basedOn w:val="1"/>
    <w:link w:val="274"/>
    <w:qFormat/>
    <w:uiPriority w:val="0"/>
    <w:pPr>
      <w:spacing w:after="120"/>
    </w:pPr>
    <w:rPr>
      <w:rFonts w:ascii="Times New Roman" w:hAnsi="Times New Roman" w:cs="Times New Roman"/>
      <w:kern w:val="2"/>
      <w:sz w:val="16"/>
      <w:szCs w:val="16"/>
    </w:rPr>
  </w:style>
  <w:style w:type="paragraph" w:styleId="20">
    <w:name w:val="Body Text"/>
    <w:basedOn w:val="1"/>
    <w:qFormat/>
    <w:uiPriority w:val="0"/>
    <w:rPr>
      <w:b/>
      <w:bCs/>
      <w:sz w:val="24"/>
    </w:rPr>
  </w:style>
  <w:style w:type="paragraph" w:styleId="21">
    <w:name w:val="Body Text Indent"/>
    <w:basedOn w:val="1"/>
    <w:link w:val="214"/>
    <w:qFormat/>
    <w:uiPriority w:val="0"/>
    <w:pPr>
      <w:ind w:firstLine="420" w:firstLineChars="200"/>
    </w:pPr>
    <w:rPr>
      <w:rFonts w:ascii="Times New Roman" w:hAnsi="Times New Roman" w:cs="Times New Roman"/>
      <w:kern w:val="2"/>
    </w:rPr>
  </w:style>
  <w:style w:type="paragraph" w:styleId="22">
    <w:name w:val="toc 5"/>
    <w:basedOn w:val="1"/>
    <w:next w:val="1"/>
    <w:qFormat/>
    <w:uiPriority w:val="0"/>
    <w:pPr>
      <w:ind w:left="840"/>
      <w:jc w:val="left"/>
    </w:pPr>
    <w:rPr>
      <w:szCs w:val="21"/>
    </w:rPr>
  </w:style>
  <w:style w:type="paragraph" w:styleId="23">
    <w:name w:val="toc 3"/>
    <w:basedOn w:val="1"/>
    <w:next w:val="1"/>
    <w:qFormat/>
    <w:uiPriority w:val="39"/>
    <w:pPr>
      <w:ind w:left="420"/>
      <w:jc w:val="left"/>
    </w:pPr>
    <w:rPr>
      <w:i/>
      <w:iCs/>
    </w:rPr>
  </w:style>
  <w:style w:type="paragraph" w:styleId="24">
    <w:name w:val="Plain Text"/>
    <w:basedOn w:val="1"/>
    <w:link w:val="73"/>
    <w:qFormat/>
    <w:uiPriority w:val="0"/>
    <w:rPr>
      <w:rFonts w:hAnsi="Courier New" w:cs="Times New Roman"/>
      <w:kern w:val="2"/>
      <w:szCs w:val="20"/>
    </w:rPr>
  </w:style>
  <w:style w:type="paragraph" w:styleId="25">
    <w:name w:val="toc 8"/>
    <w:basedOn w:val="1"/>
    <w:next w:val="1"/>
    <w:qFormat/>
    <w:uiPriority w:val="0"/>
    <w:pPr>
      <w:ind w:left="1470"/>
      <w:jc w:val="left"/>
    </w:pPr>
    <w:rPr>
      <w:szCs w:val="21"/>
    </w:rPr>
  </w:style>
  <w:style w:type="paragraph" w:styleId="26">
    <w:name w:val="Date"/>
    <w:basedOn w:val="1"/>
    <w:next w:val="1"/>
    <w:link w:val="84"/>
    <w:qFormat/>
    <w:uiPriority w:val="0"/>
    <w:rPr>
      <w:rFonts w:hAnsi="Courier New" w:cs="Times New Roman"/>
      <w:kern w:val="2"/>
      <w:sz w:val="32"/>
      <w:szCs w:val="20"/>
    </w:rPr>
  </w:style>
  <w:style w:type="paragraph" w:styleId="27">
    <w:name w:val="Body Text Indent 2"/>
    <w:basedOn w:val="1"/>
    <w:link w:val="213"/>
    <w:qFormat/>
    <w:uiPriority w:val="0"/>
    <w:pPr>
      <w:spacing w:beforeLines="50" w:afterLines="50" w:line="120" w:lineRule="auto"/>
      <w:ind w:firstLine="840" w:firstLineChars="400"/>
      <w:jc w:val="left"/>
    </w:pPr>
    <w:rPr>
      <w:rFonts w:cs="Times New Roman"/>
      <w:kern w:val="2"/>
    </w:rPr>
  </w:style>
  <w:style w:type="paragraph" w:styleId="28">
    <w:name w:val="Balloon Text"/>
    <w:basedOn w:val="1"/>
    <w:link w:val="110"/>
    <w:semiHidden/>
    <w:qFormat/>
    <w:uiPriority w:val="0"/>
    <w:rPr>
      <w:rFonts w:ascii="Times New Roman" w:hAnsi="Times New Roman" w:cs="Times New Roman"/>
      <w:kern w:val="2"/>
      <w:sz w:val="18"/>
      <w:szCs w:val="18"/>
    </w:rPr>
  </w:style>
  <w:style w:type="paragraph" w:styleId="29">
    <w:name w:val="footer"/>
    <w:basedOn w:val="1"/>
    <w:link w:val="109"/>
    <w:qFormat/>
    <w:uiPriority w:val="99"/>
    <w:pPr>
      <w:tabs>
        <w:tab w:val="center" w:pos="4153"/>
        <w:tab w:val="right" w:pos="8306"/>
      </w:tabs>
      <w:jc w:val="left"/>
    </w:pPr>
    <w:rPr>
      <w:rFonts w:ascii="Times New Roman" w:hAnsi="Times New Roman" w:cs="Times New Roman"/>
      <w:kern w:val="2"/>
      <w:sz w:val="18"/>
      <w:szCs w:val="18"/>
    </w:rPr>
  </w:style>
  <w:style w:type="paragraph" w:styleId="30">
    <w:name w:val="header"/>
    <w:basedOn w:val="1"/>
    <w:link w:val="79"/>
    <w:qFormat/>
    <w:uiPriority w:val="99"/>
    <w:pPr>
      <w:pBdr>
        <w:bottom w:val="single" w:color="auto" w:sz="6" w:space="1"/>
      </w:pBdr>
      <w:tabs>
        <w:tab w:val="center" w:pos="4153"/>
        <w:tab w:val="right" w:pos="8306"/>
      </w:tabs>
      <w:jc w:val="center"/>
    </w:pPr>
    <w:rPr>
      <w:rFonts w:ascii="Times New Roman" w:hAnsi="Times New Roman" w:cs="Times New Roman"/>
      <w:kern w:val="2"/>
      <w:sz w:val="18"/>
      <w:szCs w:val="18"/>
    </w:rPr>
  </w:style>
  <w:style w:type="paragraph" w:styleId="31">
    <w:name w:val="toc 1"/>
    <w:basedOn w:val="1"/>
    <w:next w:val="1"/>
    <w:qFormat/>
    <w:uiPriority w:val="39"/>
    <w:pPr>
      <w:tabs>
        <w:tab w:val="right" w:leader="dot" w:pos="8789"/>
      </w:tabs>
      <w:adjustRightInd/>
      <w:snapToGrid/>
      <w:spacing w:before="120" w:after="120"/>
      <w:jc w:val="left"/>
    </w:pPr>
    <w:rPr>
      <w:b/>
      <w:bCs/>
      <w:caps/>
      <w:sz w:val="28"/>
    </w:rPr>
  </w:style>
  <w:style w:type="paragraph" w:styleId="32">
    <w:name w:val="toc 4"/>
    <w:basedOn w:val="1"/>
    <w:next w:val="1"/>
    <w:qFormat/>
    <w:uiPriority w:val="0"/>
    <w:pPr>
      <w:ind w:left="630"/>
      <w:jc w:val="left"/>
    </w:pPr>
    <w:rPr>
      <w:szCs w:val="21"/>
    </w:rPr>
  </w:style>
  <w:style w:type="paragraph" w:styleId="33">
    <w:name w:val="Subtitle"/>
    <w:basedOn w:val="1"/>
    <w:next w:val="1"/>
    <w:link w:val="76"/>
    <w:qFormat/>
    <w:uiPriority w:val="0"/>
    <w:pPr>
      <w:spacing w:before="240" w:after="60" w:line="312" w:lineRule="auto"/>
      <w:jc w:val="center"/>
      <w:outlineLvl w:val="1"/>
    </w:pPr>
    <w:rPr>
      <w:rFonts w:ascii="Cambria" w:hAnsi="Cambria" w:cs="Times New Roman"/>
      <w:b/>
      <w:bCs/>
      <w:kern w:val="28"/>
      <w:sz w:val="28"/>
      <w:szCs w:val="32"/>
    </w:rPr>
  </w:style>
  <w:style w:type="paragraph" w:styleId="34">
    <w:name w:val="toc 6"/>
    <w:basedOn w:val="1"/>
    <w:next w:val="1"/>
    <w:qFormat/>
    <w:uiPriority w:val="0"/>
    <w:pPr>
      <w:ind w:left="1050"/>
      <w:jc w:val="left"/>
    </w:pPr>
    <w:rPr>
      <w:szCs w:val="21"/>
    </w:rPr>
  </w:style>
  <w:style w:type="paragraph" w:styleId="35">
    <w:name w:val="Body Text Indent 3"/>
    <w:basedOn w:val="1"/>
    <w:link w:val="269"/>
    <w:qFormat/>
    <w:uiPriority w:val="0"/>
    <w:pPr>
      <w:ind w:firstLine="482" w:firstLineChars="200"/>
    </w:pPr>
    <w:rPr>
      <w:rFonts w:hAnsi="Times New Roman" w:cs="Times New Roman"/>
      <w:b/>
      <w:bCs/>
      <w:kern w:val="2"/>
      <w:sz w:val="24"/>
    </w:rPr>
  </w:style>
  <w:style w:type="paragraph" w:styleId="36">
    <w:name w:val="toc 2"/>
    <w:basedOn w:val="1"/>
    <w:next w:val="1"/>
    <w:qFormat/>
    <w:uiPriority w:val="39"/>
    <w:pPr>
      <w:tabs>
        <w:tab w:val="right" w:leader="dot" w:pos="8789"/>
        <w:tab w:val="clear" w:pos="426"/>
      </w:tabs>
      <w:adjustRightInd/>
      <w:snapToGrid/>
      <w:spacing w:line="300" w:lineRule="auto"/>
      <w:ind w:left="50" w:leftChars="50"/>
    </w:pPr>
    <w:rPr>
      <w:smallCaps/>
      <w:sz w:val="28"/>
    </w:rPr>
  </w:style>
  <w:style w:type="paragraph" w:styleId="37">
    <w:name w:val="toc 9"/>
    <w:basedOn w:val="1"/>
    <w:next w:val="1"/>
    <w:qFormat/>
    <w:uiPriority w:val="0"/>
    <w:pPr>
      <w:ind w:left="1680"/>
      <w:jc w:val="left"/>
    </w:pPr>
    <w:rPr>
      <w:szCs w:val="21"/>
    </w:rPr>
  </w:style>
  <w:style w:type="paragraph" w:styleId="38">
    <w:name w:val="Body Text 2"/>
    <w:basedOn w:val="1"/>
    <w:link w:val="273"/>
    <w:qFormat/>
    <w:uiPriority w:val="0"/>
    <w:rPr>
      <w:rFonts w:ascii="Times New Roman" w:hAnsi="Times New Roman" w:cs="Times New Roman"/>
      <w:kern w:val="2"/>
      <w:sz w:val="24"/>
    </w:rPr>
  </w:style>
  <w:style w:type="paragraph" w:styleId="39">
    <w:name w:val="HTML Preformatted"/>
    <w:basedOn w:val="1"/>
    <w:link w:val="27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s="Times New Roman"/>
      <w:color w:val="000000"/>
      <w:sz w:val="20"/>
      <w:szCs w:val="20"/>
    </w:rPr>
  </w:style>
  <w:style w:type="paragraph" w:styleId="40">
    <w:name w:val="Normal (Web)"/>
    <w:basedOn w:val="1"/>
    <w:qFormat/>
    <w:uiPriority w:val="0"/>
    <w:rPr>
      <w:sz w:val="24"/>
    </w:rPr>
  </w:style>
  <w:style w:type="paragraph" w:styleId="41">
    <w:name w:val="index 1"/>
    <w:basedOn w:val="1"/>
    <w:next w:val="1"/>
    <w:qFormat/>
    <w:uiPriority w:val="99"/>
    <w:rPr>
      <w:b/>
      <w:color w:val="0000FF"/>
      <w:sz w:val="24"/>
    </w:rPr>
  </w:style>
  <w:style w:type="paragraph" w:styleId="42">
    <w:name w:val="Title"/>
    <w:basedOn w:val="1"/>
    <w:link w:val="136"/>
    <w:qFormat/>
    <w:uiPriority w:val="0"/>
    <w:pPr>
      <w:spacing w:before="240" w:after="60"/>
      <w:jc w:val="center"/>
      <w:outlineLvl w:val="0"/>
    </w:pPr>
    <w:rPr>
      <w:rFonts w:ascii="Arial" w:hAnsi="Arial" w:cs="Times New Roman"/>
      <w:b/>
      <w:bCs/>
      <w:kern w:val="2"/>
      <w:sz w:val="36"/>
      <w:szCs w:val="32"/>
    </w:rPr>
  </w:style>
  <w:style w:type="paragraph" w:styleId="43">
    <w:name w:val="annotation subject"/>
    <w:basedOn w:val="18"/>
    <w:next w:val="18"/>
    <w:link w:val="251"/>
    <w:qFormat/>
    <w:uiPriority w:val="0"/>
    <w:pPr>
      <w:autoSpaceDE/>
      <w:autoSpaceDN/>
      <w:adjustRightInd/>
      <w:textAlignment w:val="auto"/>
    </w:pPr>
    <w:rPr>
      <w:rFonts w:ascii="Times New Roman"/>
      <w:b/>
      <w:bCs/>
      <w:kern w:val="2"/>
      <w:sz w:val="21"/>
      <w:szCs w:val="24"/>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46">
    <w:name w:val="Table Theme"/>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8">
    <w:name w:val="Strong"/>
    <w:qFormat/>
    <w:uiPriority w:val="0"/>
    <w:rPr>
      <w:b/>
      <w:bCs/>
    </w:rPr>
  </w:style>
  <w:style w:type="character" w:styleId="49">
    <w:name w:val="page number"/>
    <w:basedOn w:val="47"/>
    <w:qFormat/>
    <w:uiPriority w:val="0"/>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annotation reference"/>
    <w:unhideWhenUsed/>
    <w:qFormat/>
    <w:uiPriority w:val="0"/>
    <w:rPr>
      <w:sz w:val="21"/>
      <w:szCs w:val="21"/>
    </w:rPr>
  </w:style>
  <w:style w:type="character" w:customStyle="1" w:styleId="54">
    <w:name w:val="标题 4 Char"/>
    <w:link w:val="4"/>
    <w:qFormat/>
    <w:uiPriority w:val="0"/>
    <w:rPr>
      <w:rFonts w:ascii="Arial" w:hAnsi="Arial" w:eastAsia="黑体"/>
      <w:b/>
      <w:bCs/>
      <w:kern w:val="2"/>
      <w:sz w:val="28"/>
      <w:szCs w:val="28"/>
      <w:lang w:val="en-US" w:eastAsia="zh-CN" w:bidi="ar-SA"/>
    </w:rPr>
  </w:style>
  <w:style w:type="paragraph" w:customStyle="1" w:styleId="55">
    <w:name w:val="Char"/>
    <w:basedOn w:val="1"/>
    <w:qFormat/>
    <w:uiPriority w:val="0"/>
    <w:pPr>
      <w:spacing w:after="160" w:line="240" w:lineRule="exact"/>
      <w:jc w:val="left"/>
    </w:pPr>
    <w:rPr>
      <w:rFonts w:ascii="Verdana" w:hAnsi="Verdana" w:eastAsia="仿宋_GB2312"/>
      <w:sz w:val="24"/>
      <w:szCs w:val="20"/>
      <w:lang w:eastAsia="en-US"/>
    </w:rPr>
  </w:style>
  <w:style w:type="character" w:customStyle="1" w:styleId="56">
    <w:name w:val="标题 3 Char1"/>
    <w:link w:val="3"/>
    <w:qFormat/>
    <w:uiPriority w:val="0"/>
    <w:rPr>
      <w:rFonts w:ascii="宋体" w:hAnsi="宋体"/>
      <w:b/>
      <w:bCs/>
      <w:kern w:val="2"/>
      <w:sz w:val="24"/>
      <w:szCs w:val="32"/>
      <w:shd w:val="clear" w:color="auto" w:fill="FFFFFF"/>
    </w:rPr>
  </w:style>
  <w:style w:type="character" w:customStyle="1" w:styleId="57">
    <w:name w:val="标题 1 Char"/>
    <w:link w:val="2"/>
    <w:qFormat/>
    <w:uiPriority w:val="0"/>
    <w:rPr>
      <w:rFonts w:ascii="宋体" w:hAnsi="宋体" w:eastAsia="黑体"/>
      <w:b/>
      <w:bCs/>
      <w:kern w:val="44"/>
      <w:sz w:val="28"/>
      <w:szCs w:val="28"/>
      <w:lang w:val="en-US" w:eastAsia="zh-CN" w:bidi="ar-SA"/>
    </w:rPr>
  </w:style>
  <w:style w:type="character" w:customStyle="1" w:styleId="58">
    <w:name w:val="正文缩进 Char"/>
    <w:link w:val="7"/>
    <w:qFormat/>
    <w:uiPriority w:val="0"/>
    <w:rPr>
      <w:rFonts w:eastAsia="宋体"/>
      <w:kern w:val="2"/>
      <w:sz w:val="21"/>
      <w:lang w:val="en-US" w:eastAsia="zh-CN" w:bidi="ar-SA"/>
    </w:rPr>
  </w:style>
  <w:style w:type="character" w:customStyle="1" w:styleId="59">
    <w:name w:val="标题 3 Char"/>
    <w:qFormat/>
    <w:uiPriority w:val="0"/>
    <w:rPr>
      <w:rFonts w:ascii="黑体" w:eastAsia="黑体"/>
      <w:bCs/>
      <w:sz w:val="30"/>
    </w:rPr>
  </w:style>
  <w:style w:type="paragraph" w:customStyle="1" w:styleId="60">
    <w:name w:val="样式41"/>
    <w:basedOn w:val="1"/>
    <w:qFormat/>
    <w:uiPriority w:val="0"/>
    <w:pPr>
      <w:tabs>
        <w:tab w:val="left" w:pos="945"/>
        <w:tab w:val="left" w:pos="2040"/>
      </w:tabs>
      <w:ind w:left="2040" w:leftChars="800" w:hanging="360" w:hangingChars="200"/>
    </w:pPr>
    <w:rPr>
      <w:b/>
      <w:color w:val="000000"/>
      <w:sz w:val="24"/>
      <w:szCs w:val="20"/>
    </w:rPr>
  </w:style>
  <w:style w:type="paragraph" w:customStyle="1" w:styleId="61">
    <w:name w:val="图"/>
    <w:basedOn w:val="1"/>
    <w:qFormat/>
    <w:uiPriority w:val="0"/>
    <w:pPr>
      <w:keepNext/>
      <w:spacing w:before="60" w:after="60" w:line="300" w:lineRule="auto"/>
      <w:jc w:val="center"/>
    </w:pPr>
    <w:rPr>
      <w:spacing w:val="20"/>
      <w:sz w:val="24"/>
      <w:szCs w:val="20"/>
    </w:rPr>
  </w:style>
  <w:style w:type="paragraph" w:customStyle="1" w:styleId="62">
    <w:name w:val="文档正文"/>
    <w:basedOn w:val="1"/>
    <w:qFormat/>
    <w:uiPriority w:val="0"/>
    <w:pPr>
      <w:spacing w:line="480" w:lineRule="atLeast"/>
      <w:ind w:firstLine="567" w:firstLineChars="200"/>
      <w:textAlignment w:val="baseline"/>
    </w:pPr>
    <w:rPr>
      <w:rFonts w:ascii="长城仿宋"/>
      <w:szCs w:val="20"/>
    </w:rPr>
  </w:style>
  <w:style w:type="paragraph" w:customStyle="1" w:styleId="63">
    <w:name w:val="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64">
    <w:name w:val="Char1"/>
    <w:basedOn w:val="1"/>
    <w:qFormat/>
    <w:uiPriority w:val="0"/>
    <w:pPr>
      <w:spacing w:after="160" w:line="240" w:lineRule="exact"/>
      <w:jc w:val="left"/>
    </w:pPr>
    <w:rPr>
      <w:rFonts w:ascii="Verdana" w:hAnsi="Verdana" w:eastAsia="仿宋_GB2312"/>
      <w:sz w:val="24"/>
      <w:szCs w:val="20"/>
      <w:lang w:eastAsia="en-US"/>
    </w:rPr>
  </w:style>
  <w:style w:type="paragraph" w:customStyle="1" w:styleId="65">
    <w:name w:val="Char Char Char Char1"/>
    <w:basedOn w:val="1"/>
    <w:qFormat/>
    <w:uiPriority w:val="0"/>
    <w:pPr>
      <w:spacing w:after="160" w:line="240" w:lineRule="exact"/>
      <w:jc w:val="left"/>
    </w:pPr>
    <w:rPr>
      <w:rFonts w:ascii="Verdana" w:hAnsi="Verdana" w:eastAsia="仿宋_GB2312"/>
      <w:sz w:val="24"/>
      <w:szCs w:val="20"/>
      <w:lang w:eastAsia="en-US"/>
    </w:rPr>
  </w:style>
  <w:style w:type="paragraph" w:customStyle="1" w:styleId="66">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67">
    <w:name w:val="自定义正文"/>
    <w:basedOn w:val="1"/>
    <w:qFormat/>
    <w:uiPriority w:val="0"/>
    <w:pPr>
      <w:spacing w:afterLines="50"/>
      <w:ind w:left="600" w:leftChars="600"/>
    </w:pPr>
  </w:style>
  <w:style w:type="paragraph" w:customStyle="1" w:styleId="68">
    <w:name w:val="Char Char Char Char Char"/>
    <w:basedOn w:val="1"/>
    <w:qFormat/>
    <w:uiPriority w:val="0"/>
    <w:rPr>
      <w:rFonts w:ascii="Tahoma" w:hAnsi="Tahoma"/>
      <w:sz w:val="24"/>
      <w:szCs w:val="20"/>
    </w:rPr>
  </w:style>
  <w:style w:type="paragraph" w:customStyle="1" w:styleId="69">
    <w:name w:val="小标题 1"/>
    <w:basedOn w:val="1"/>
    <w:qFormat/>
    <w:uiPriority w:val="0"/>
    <w:pPr>
      <w:autoSpaceDE w:val="0"/>
      <w:autoSpaceDN w:val="0"/>
      <w:spacing w:line="360" w:lineRule="atLeast"/>
    </w:pPr>
    <w:rPr>
      <w:rFonts w:ascii="文鼎粗黑" w:eastAsia="文鼎粗黑"/>
      <w:sz w:val="22"/>
      <w:szCs w:val="20"/>
    </w:rPr>
  </w:style>
  <w:style w:type="paragraph" w:customStyle="1" w:styleId="70">
    <w:name w:val="Char Char"/>
    <w:basedOn w:val="1"/>
    <w:qFormat/>
    <w:uiPriority w:val="0"/>
    <w:rPr>
      <w:rFonts w:ascii="Tahoma" w:hAnsi="Tahoma"/>
      <w:sz w:val="24"/>
      <w:szCs w:val="20"/>
    </w:rPr>
  </w:style>
  <w:style w:type="paragraph" w:customStyle="1" w:styleId="71">
    <w:name w:val="È±Ê¡ÎÄ±¾"/>
    <w:basedOn w:val="1"/>
    <w:qFormat/>
    <w:uiPriority w:val="0"/>
    <w:pPr>
      <w:overflowPunct w:val="0"/>
      <w:autoSpaceDE w:val="0"/>
      <w:autoSpaceDN w:val="0"/>
      <w:jc w:val="left"/>
      <w:textAlignment w:val="baseline"/>
    </w:pPr>
    <w:rPr>
      <w:sz w:val="24"/>
      <w:szCs w:val="20"/>
    </w:rPr>
  </w:style>
  <w:style w:type="character" w:customStyle="1" w:styleId="72">
    <w:name w:val="批注文字 Char"/>
    <w:link w:val="18"/>
    <w:qFormat/>
    <w:uiPriority w:val="0"/>
    <w:rPr>
      <w:rFonts w:ascii="宋体" w:eastAsia="宋体"/>
      <w:sz w:val="34"/>
      <w:lang w:val="en-US" w:eastAsia="zh-CN" w:bidi="ar-SA"/>
    </w:rPr>
  </w:style>
  <w:style w:type="character" w:customStyle="1" w:styleId="73">
    <w:name w:val="纯文本 Char"/>
    <w:link w:val="24"/>
    <w:qFormat/>
    <w:uiPriority w:val="0"/>
    <w:rPr>
      <w:rFonts w:ascii="宋体" w:hAnsi="Courier New"/>
      <w:kern w:val="2"/>
      <w:sz w:val="21"/>
    </w:rPr>
  </w:style>
  <w:style w:type="character" w:customStyle="1" w:styleId="74">
    <w:name w:val="apple-converted-space"/>
    <w:basedOn w:val="47"/>
    <w:qFormat/>
    <w:uiPriority w:val="0"/>
  </w:style>
  <w:style w:type="paragraph" w:customStyle="1" w:styleId="75">
    <w:name w:val="TOC 标题1"/>
    <w:basedOn w:val="2"/>
    <w:next w:val="1"/>
    <w:qFormat/>
    <w:uiPriority w:val="39"/>
    <w:pPr>
      <w:spacing w:before="480" w:after="0" w:line="276" w:lineRule="auto"/>
      <w:jc w:val="left"/>
      <w:outlineLvl w:val="9"/>
    </w:pPr>
    <w:rPr>
      <w:rFonts w:ascii="Cambria" w:hAnsi="Cambria" w:eastAsia="宋体"/>
      <w:color w:val="365F91"/>
      <w:kern w:val="0"/>
    </w:rPr>
  </w:style>
  <w:style w:type="character" w:customStyle="1" w:styleId="76">
    <w:name w:val="副标题 Char1"/>
    <w:link w:val="33"/>
    <w:qFormat/>
    <w:uiPriority w:val="0"/>
    <w:rPr>
      <w:rFonts w:ascii="Cambria" w:hAnsi="Cambria" w:cs="Times New Roman"/>
      <w:b/>
      <w:bCs/>
      <w:kern w:val="28"/>
      <w:sz w:val="28"/>
      <w:szCs w:val="32"/>
    </w:rPr>
  </w:style>
  <w:style w:type="paragraph" w:customStyle="1" w:styleId="77">
    <w:name w:val="Char Char Char"/>
    <w:basedOn w:val="1"/>
    <w:qFormat/>
    <w:uiPriority w:val="0"/>
    <w:rPr>
      <w:rFonts w:ascii="Tahoma" w:hAnsi="Tahoma"/>
      <w:sz w:val="24"/>
      <w:szCs w:val="20"/>
    </w:rPr>
  </w:style>
  <w:style w:type="paragraph" w:customStyle="1" w:styleId="78">
    <w:name w:val="列出段落1"/>
    <w:basedOn w:val="1"/>
    <w:link w:val="89"/>
    <w:qFormat/>
    <w:uiPriority w:val="0"/>
    <w:pPr>
      <w:ind w:firstLine="420" w:firstLineChars="200"/>
    </w:pPr>
    <w:rPr>
      <w:rFonts w:ascii="Times New Roman" w:hAnsi="Times New Roman" w:cs="Times New Roman"/>
      <w:kern w:val="2"/>
    </w:rPr>
  </w:style>
  <w:style w:type="character" w:customStyle="1" w:styleId="79">
    <w:name w:val="页眉 Char"/>
    <w:link w:val="30"/>
    <w:qFormat/>
    <w:uiPriority w:val="99"/>
    <w:rPr>
      <w:kern w:val="2"/>
      <w:sz w:val="18"/>
      <w:szCs w:val="18"/>
    </w:rPr>
  </w:style>
  <w:style w:type="paragraph" w:customStyle="1" w:styleId="80">
    <w:name w:val="Default"/>
    <w:link w:val="217"/>
    <w:qFormat/>
    <w:uiPriority w:val="0"/>
    <w:pPr>
      <w:widowControl w:val="0"/>
      <w:autoSpaceDE w:val="0"/>
      <w:autoSpaceDN w:val="0"/>
      <w:adjustRightInd w:val="0"/>
      <w:spacing w:line="360" w:lineRule="auto"/>
      <w:jc w:val="both"/>
    </w:pPr>
    <w:rPr>
      <w:rFonts w:ascii="宋体" w:hAnsi="Calibri" w:eastAsia="宋体" w:cs="Times New Roman"/>
      <w:color w:val="000000"/>
      <w:sz w:val="24"/>
      <w:szCs w:val="24"/>
      <w:lang w:val="en-US" w:eastAsia="zh-CN" w:bidi="ar-SA"/>
    </w:rPr>
  </w:style>
  <w:style w:type="paragraph" w:customStyle="1" w:styleId="81">
    <w:name w:val="主题"/>
    <w:basedOn w:val="1"/>
    <w:qFormat/>
    <w:uiPriority w:val="0"/>
  </w:style>
  <w:style w:type="paragraph" w:customStyle="1" w:styleId="82">
    <w:name w:val="默认段落字体 Para Char Char Char Char Char Char Char Char Char3 Char Char Char Char"/>
    <w:basedOn w:val="16"/>
    <w:qFormat/>
    <w:uiPriority w:val="0"/>
    <w:pPr>
      <w:spacing w:line="436" w:lineRule="exact"/>
      <w:ind w:left="357"/>
      <w:jc w:val="left"/>
      <w:outlineLvl w:val="3"/>
    </w:pPr>
    <w:rPr>
      <w:rFonts w:ascii="Tahoma" w:hAnsi="Tahoma"/>
      <w:b/>
      <w:sz w:val="24"/>
    </w:rPr>
  </w:style>
  <w:style w:type="paragraph" w:customStyle="1" w:styleId="83">
    <w:name w:val="目次、标准名称标题"/>
    <w:basedOn w:val="1"/>
    <w:next w:val="1"/>
    <w:qFormat/>
    <w:uiPriority w:val="0"/>
    <w:pPr>
      <w:shd w:val="clear" w:color="FFFFFF" w:fill="FFFFFF"/>
      <w:spacing w:before="640" w:after="560" w:line="460" w:lineRule="exact"/>
      <w:jc w:val="center"/>
      <w:outlineLvl w:val="0"/>
    </w:pPr>
    <w:rPr>
      <w:rFonts w:ascii="黑体" w:eastAsia="黑体"/>
      <w:sz w:val="32"/>
      <w:szCs w:val="20"/>
    </w:rPr>
  </w:style>
  <w:style w:type="character" w:customStyle="1" w:styleId="84">
    <w:name w:val="日期 Char"/>
    <w:link w:val="26"/>
    <w:qFormat/>
    <w:uiPriority w:val="0"/>
    <w:rPr>
      <w:rFonts w:ascii="宋体" w:hAnsi="Courier New"/>
      <w:kern w:val="2"/>
      <w:sz w:val="32"/>
    </w:rPr>
  </w:style>
  <w:style w:type="paragraph" w:customStyle="1" w:styleId="85">
    <w:name w:val="表1黑体居中"/>
    <w:basedOn w:val="1"/>
    <w:qFormat/>
    <w:uiPriority w:val="0"/>
    <w:pPr>
      <w:ind w:firstLine="435"/>
      <w:jc w:val="center"/>
      <w:textAlignment w:val="baseline"/>
    </w:pPr>
    <w:rPr>
      <w:rFonts w:ascii="黑体" w:eastAsia="黑体"/>
      <w:szCs w:val="21"/>
    </w:rPr>
  </w:style>
  <w:style w:type="paragraph" w:customStyle="1" w:styleId="86">
    <w:name w:val="MaoC2"/>
    <w:basedOn w:val="1"/>
    <w:qFormat/>
    <w:uiPriority w:val="0"/>
    <w:pPr>
      <w:numPr>
        <w:ilvl w:val="1"/>
        <w:numId w:val="2"/>
      </w:numPr>
      <w:spacing w:line="480" w:lineRule="auto"/>
      <w:outlineLvl w:val="1"/>
    </w:pPr>
    <w:rPr>
      <w:rFonts w:ascii="黑体" w:eastAsia="黑体"/>
      <w:szCs w:val="20"/>
    </w:rPr>
  </w:style>
  <w:style w:type="paragraph" w:customStyle="1" w:styleId="87">
    <w:name w:val="图目录4"/>
    <w:basedOn w:val="1"/>
    <w:next w:val="1"/>
    <w:qFormat/>
    <w:uiPriority w:val="0"/>
    <w:pPr>
      <w:numPr>
        <w:ilvl w:val="0"/>
        <w:numId w:val="3"/>
      </w:numPr>
      <w:ind w:hanging="448"/>
      <w:jc w:val="center"/>
      <w:textAlignment w:val="baseline"/>
    </w:pPr>
    <w:rPr>
      <w:szCs w:val="20"/>
    </w:rPr>
  </w:style>
  <w:style w:type="paragraph" w:customStyle="1" w:styleId="88">
    <w:name w:val="段"/>
    <w:qFormat/>
    <w:uiPriority w:val="0"/>
    <w:pPr>
      <w:autoSpaceDE w:val="0"/>
      <w:autoSpaceDN w:val="0"/>
      <w:spacing w:line="360" w:lineRule="auto"/>
      <w:ind w:firstLine="200" w:firstLineChars="200"/>
      <w:jc w:val="both"/>
    </w:pPr>
    <w:rPr>
      <w:rFonts w:ascii="宋体" w:hAnsi="Times New Roman" w:eastAsia="宋体" w:cs="Times New Roman"/>
      <w:sz w:val="21"/>
      <w:lang w:val="en-US" w:eastAsia="zh-CN" w:bidi="ar-SA"/>
    </w:rPr>
  </w:style>
  <w:style w:type="character" w:customStyle="1" w:styleId="89">
    <w:name w:val="列出段落 Char"/>
    <w:link w:val="78"/>
    <w:qFormat/>
    <w:uiPriority w:val="0"/>
    <w:rPr>
      <w:kern w:val="2"/>
      <w:sz w:val="21"/>
      <w:szCs w:val="24"/>
    </w:rPr>
  </w:style>
  <w:style w:type="table" w:customStyle="1" w:styleId="90">
    <w:name w:val="Table Normal"/>
    <w:qFormat/>
    <w:uiPriority w:val="0"/>
    <w:pPr>
      <w:spacing w:line="360" w:lineRule="auto"/>
      <w:jc w:val="both"/>
    </w:pPr>
    <w:tblPr>
      <w:tblLayout w:type="fixed"/>
      <w:tblCellMar>
        <w:top w:w="0" w:type="dxa"/>
        <w:left w:w="0" w:type="dxa"/>
        <w:bottom w:w="0" w:type="dxa"/>
        <w:right w:w="0" w:type="dxa"/>
      </w:tblCellMar>
    </w:tblPr>
  </w:style>
  <w:style w:type="paragraph" w:customStyle="1" w:styleId="91">
    <w:name w:val="样式1"/>
    <w:basedOn w:val="1"/>
    <w:qFormat/>
    <w:uiPriority w:val="0"/>
    <w:pPr>
      <w:keepNext/>
      <w:keepLines/>
      <w:numPr>
        <w:ilvl w:val="0"/>
        <w:numId w:val="4"/>
      </w:numPr>
      <w:spacing w:before="340" w:after="330"/>
      <w:outlineLvl w:val="0"/>
    </w:pPr>
    <w:rPr>
      <w:b/>
      <w:kern w:val="44"/>
      <w:sz w:val="44"/>
      <w:szCs w:val="20"/>
    </w:rPr>
  </w:style>
  <w:style w:type="paragraph" w:customStyle="1" w:styleId="92">
    <w:name w:val="参数内容"/>
    <w:basedOn w:val="78"/>
    <w:qFormat/>
    <w:uiPriority w:val="0"/>
    <w:pPr>
      <w:numPr>
        <w:ilvl w:val="0"/>
        <w:numId w:val="5"/>
      </w:numPr>
      <w:ind w:firstLine="0" w:firstLineChars="0"/>
    </w:pPr>
    <w:rPr>
      <w:szCs w:val="18"/>
    </w:rPr>
  </w:style>
  <w:style w:type="paragraph" w:customStyle="1" w:styleId="93">
    <w:name w:val="标准正文"/>
    <w:basedOn w:val="21"/>
    <w:link w:val="94"/>
    <w:qFormat/>
    <w:uiPriority w:val="0"/>
    <w:pPr>
      <w:spacing w:before="60" w:after="60"/>
      <w:ind w:firstLine="482" w:firstLineChars="0"/>
      <w:jc w:val="left"/>
    </w:pPr>
    <w:rPr>
      <w:rFonts w:ascii="宋体" w:hAnsi="宋体"/>
      <w:kern w:val="0"/>
      <w:sz w:val="24"/>
      <w:szCs w:val="20"/>
    </w:rPr>
  </w:style>
  <w:style w:type="character" w:customStyle="1" w:styleId="94">
    <w:name w:val="标准正文 Char"/>
    <w:link w:val="93"/>
    <w:qFormat/>
    <w:uiPriority w:val="0"/>
    <w:rPr>
      <w:rFonts w:ascii="宋体" w:hAnsi="宋体" w:cs="宋体"/>
      <w:sz w:val="24"/>
    </w:rPr>
  </w:style>
  <w:style w:type="paragraph" w:customStyle="1" w:styleId="95">
    <w:name w:val="下级参数内容"/>
    <w:basedOn w:val="78"/>
    <w:qFormat/>
    <w:uiPriority w:val="0"/>
    <w:pPr>
      <w:numPr>
        <w:ilvl w:val="0"/>
        <w:numId w:val="6"/>
      </w:numPr>
      <w:ind w:left="1134" w:firstLine="0" w:firstLineChars="0"/>
    </w:pPr>
    <w:rPr>
      <w:rFonts w:ascii="仿宋" w:hAnsi="仿宋"/>
    </w:rPr>
  </w:style>
  <w:style w:type="paragraph" w:customStyle="1" w:styleId="96">
    <w:name w:val="Char Char Char1"/>
    <w:basedOn w:val="1"/>
    <w:qFormat/>
    <w:uiPriority w:val="0"/>
    <w:rPr>
      <w:rFonts w:ascii="Tahoma" w:hAnsi="Tahoma"/>
      <w:sz w:val="24"/>
      <w:szCs w:val="20"/>
    </w:rPr>
  </w:style>
  <w:style w:type="paragraph" w:customStyle="1" w:styleId="97">
    <w:name w:val="Char Char10 Char Char"/>
    <w:basedOn w:val="16"/>
    <w:qFormat/>
    <w:uiPriority w:val="0"/>
    <w:rPr>
      <w:rFonts w:ascii="Tahoma" w:hAnsi="Tahoma"/>
      <w:sz w:val="24"/>
    </w:rPr>
  </w:style>
  <w:style w:type="paragraph" w:customStyle="1" w:styleId="98">
    <w:name w:val="_Style 95"/>
    <w:unhideWhenUsed/>
    <w:qFormat/>
    <w:uiPriority w:val="99"/>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99">
    <w:name w:val="font5"/>
    <w:basedOn w:val="1"/>
    <w:qFormat/>
    <w:uiPriority w:val="0"/>
    <w:pPr>
      <w:spacing w:before="100" w:beforeAutospacing="1" w:after="100" w:afterAutospacing="1"/>
      <w:jc w:val="left"/>
    </w:pPr>
    <w:rPr>
      <w:sz w:val="18"/>
      <w:szCs w:val="18"/>
    </w:rPr>
  </w:style>
  <w:style w:type="paragraph" w:customStyle="1" w:styleId="100">
    <w:name w:val="xl65"/>
    <w:basedOn w:val="1"/>
    <w:qFormat/>
    <w:uiPriority w:val="0"/>
    <w:pPr>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b/>
      <w:bCs/>
      <w:sz w:val="24"/>
    </w:rPr>
  </w:style>
  <w:style w:type="paragraph" w:customStyle="1" w:styleId="101">
    <w:name w:val="xl66"/>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2">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color w:val="000000"/>
      <w:sz w:val="24"/>
    </w:rPr>
  </w:style>
  <w:style w:type="paragraph" w:customStyle="1" w:styleId="103">
    <w:name w:val="xl68"/>
    <w:basedOn w:val="1"/>
    <w:qFormat/>
    <w:uiPriority w:val="0"/>
    <w:pPr>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textAlignment w:val="center"/>
    </w:pPr>
    <w:rPr>
      <w:b/>
      <w:bCs/>
      <w:sz w:val="24"/>
    </w:rPr>
  </w:style>
  <w:style w:type="paragraph" w:customStyle="1" w:styleId="104">
    <w:name w:val="xl69"/>
    <w:basedOn w:val="1"/>
    <w:qFormat/>
    <w:uiPriority w:val="0"/>
    <w:pPr>
      <w:pBdr>
        <w:left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sz w:val="24"/>
    </w:rPr>
  </w:style>
  <w:style w:type="paragraph" w:customStyle="1" w:styleId="105">
    <w:name w:val="样式 标题 3style3H3h33rd levelLevel 3 Headlevel_3PIM 33l3C..."/>
    <w:basedOn w:val="3"/>
    <w:qFormat/>
    <w:uiPriority w:val="0"/>
    <w:pPr>
      <w:tabs>
        <w:tab w:val="left" w:pos="851"/>
      </w:tabs>
      <w:spacing w:beforeLines="50" w:afterLines="50" w:line="415" w:lineRule="auto"/>
      <w:ind w:left="-4" w:leftChars="-2" w:right="220" w:firstLine="571" w:firstLineChars="203"/>
      <w:jc w:val="left"/>
    </w:pPr>
    <w:rPr>
      <w:rFonts w:ascii="Times New Roman" w:hAnsi="Times New Roman" w:cs="宋体"/>
      <w:bCs w:val="0"/>
      <w:color w:val="000000"/>
      <w:szCs w:val="20"/>
    </w:rPr>
  </w:style>
  <w:style w:type="paragraph" w:customStyle="1" w:styleId="106">
    <w:name w:val="样式2"/>
    <w:basedOn w:val="2"/>
    <w:qFormat/>
    <w:uiPriority w:val="0"/>
    <w:pPr>
      <w:keepNext/>
      <w:keepLines/>
      <w:spacing w:before="0" w:after="0" w:line="578" w:lineRule="auto"/>
      <w:ind w:left="1200" w:hanging="420"/>
      <w:jc w:val="both"/>
    </w:pPr>
    <w:rPr>
      <w:rFonts w:eastAsia="宋体"/>
      <w:szCs w:val="44"/>
    </w:rPr>
  </w:style>
  <w:style w:type="paragraph" w:customStyle="1" w:styleId="107">
    <w:name w:val="样式3"/>
    <w:basedOn w:val="1"/>
    <w:qFormat/>
    <w:uiPriority w:val="0"/>
    <w:pPr>
      <w:ind w:left="1620" w:hanging="420"/>
      <w:outlineLvl w:val="2"/>
    </w:pPr>
    <w:rPr>
      <w:b/>
    </w:rPr>
  </w:style>
  <w:style w:type="paragraph" w:customStyle="1" w:styleId="108">
    <w:name w:val="样式4"/>
    <w:basedOn w:val="78"/>
    <w:qFormat/>
    <w:uiPriority w:val="0"/>
    <w:pPr>
      <w:ind w:left="2040" w:firstLine="0" w:firstLineChars="0"/>
      <w:jc w:val="left"/>
      <w:outlineLvl w:val="3"/>
    </w:pPr>
    <w:rPr>
      <w:rFonts w:ascii="宋体" w:hAnsi="宋体"/>
    </w:rPr>
  </w:style>
  <w:style w:type="character" w:customStyle="1" w:styleId="109">
    <w:name w:val="页脚 Char"/>
    <w:link w:val="29"/>
    <w:qFormat/>
    <w:uiPriority w:val="99"/>
    <w:rPr>
      <w:kern w:val="2"/>
      <w:sz w:val="18"/>
      <w:szCs w:val="18"/>
    </w:rPr>
  </w:style>
  <w:style w:type="character" w:customStyle="1" w:styleId="110">
    <w:name w:val="批注框文本 Char"/>
    <w:link w:val="28"/>
    <w:semiHidden/>
    <w:qFormat/>
    <w:uiPriority w:val="0"/>
    <w:rPr>
      <w:kern w:val="2"/>
      <w:sz w:val="18"/>
      <w:szCs w:val="18"/>
    </w:rPr>
  </w:style>
  <w:style w:type="character" w:customStyle="1" w:styleId="111">
    <w:name w:val="文档结构图 Char"/>
    <w:link w:val="16"/>
    <w:semiHidden/>
    <w:qFormat/>
    <w:uiPriority w:val="0"/>
    <w:rPr>
      <w:kern w:val="2"/>
      <w:sz w:val="21"/>
      <w:szCs w:val="24"/>
      <w:shd w:val="clear" w:color="auto" w:fill="000080"/>
    </w:rPr>
  </w:style>
  <w:style w:type="paragraph" w:customStyle="1" w:styleId="112">
    <w:name w:val="p0"/>
    <w:basedOn w:val="1"/>
    <w:qFormat/>
    <w:uiPriority w:val="0"/>
    <w:rPr>
      <w:rFonts w:ascii="Calibri" w:hAnsi="Calibri"/>
      <w:szCs w:val="21"/>
    </w:rPr>
  </w:style>
  <w:style w:type="paragraph" w:customStyle="1" w:styleId="113">
    <w:name w:val="图标题"/>
    <w:basedOn w:val="1"/>
    <w:link w:val="117"/>
    <w:qFormat/>
    <w:uiPriority w:val="0"/>
    <w:pPr>
      <w:jc w:val="center"/>
    </w:pPr>
    <w:rPr>
      <w:rFonts w:cs="Times New Roman"/>
      <w:kern w:val="2"/>
    </w:rPr>
  </w:style>
  <w:style w:type="paragraph" w:customStyle="1" w:styleId="114">
    <w:name w:val="表标题"/>
    <w:basedOn w:val="1"/>
    <w:qFormat/>
    <w:uiPriority w:val="0"/>
    <w:pPr>
      <w:jc w:val="center"/>
    </w:pPr>
    <w:rPr>
      <w:rFonts w:eastAsia="黑体"/>
      <w:b/>
    </w:rPr>
  </w:style>
  <w:style w:type="paragraph" w:customStyle="1" w:styleId="115">
    <w:name w:val="正文-1级标题-1"/>
    <w:basedOn w:val="1"/>
    <w:next w:val="1"/>
    <w:qFormat/>
    <w:uiPriority w:val="0"/>
    <w:pPr>
      <w:keepNext/>
      <w:numPr>
        <w:ilvl w:val="0"/>
        <w:numId w:val="7"/>
      </w:numPr>
      <w:spacing w:beforeLines="30" w:afterLines="30"/>
      <w:ind w:firstLine="0"/>
    </w:pPr>
    <w:rPr>
      <w:b/>
      <w:sz w:val="24"/>
      <w:szCs w:val="28"/>
      <w:lang w:val="en-GB"/>
    </w:rPr>
  </w:style>
  <w:style w:type="paragraph" w:customStyle="1" w:styleId="116">
    <w:name w:val="正文-1级列表-(1)"/>
    <w:basedOn w:val="1"/>
    <w:qFormat/>
    <w:uiPriority w:val="0"/>
    <w:pPr>
      <w:numPr>
        <w:ilvl w:val="1"/>
        <w:numId w:val="7"/>
      </w:numPr>
      <w:ind w:firstLine="0"/>
    </w:pPr>
    <w:rPr>
      <w:sz w:val="24"/>
      <w:lang w:val="en-GB"/>
    </w:rPr>
  </w:style>
  <w:style w:type="character" w:customStyle="1" w:styleId="117">
    <w:name w:val="图标题 Char"/>
    <w:link w:val="113"/>
    <w:qFormat/>
    <w:uiPriority w:val="0"/>
    <w:rPr>
      <w:rFonts w:ascii="宋体" w:hAnsi="宋体"/>
      <w:kern w:val="2"/>
      <w:sz w:val="21"/>
      <w:szCs w:val="24"/>
    </w:rPr>
  </w:style>
  <w:style w:type="character" w:customStyle="1" w:styleId="118">
    <w:name w:val="标题 5 Char"/>
    <w:link w:val="6"/>
    <w:qFormat/>
    <w:uiPriority w:val="0"/>
    <w:rPr>
      <w:b/>
      <w:kern w:val="2"/>
      <w:sz w:val="24"/>
    </w:rPr>
  </w:style>
  <w:style w:type="character" w:customStyle="1" w:styleId="119">
    <w:name w:val="标题 6 Char"/>
    <w:link w:val="8"/>
    <w:qFormat/>
    <w:uiPriority w:val="0"/>
    <w:rPr>
      <w:rFonts w:ascii="Arial" w:hAnsi="Arial" w:eastAsia="黑体"/>
      <w:b/>
      <w:kern w:val="2"/>
      <w:sz w:val="24"/>
    </w:rPr>
  </w:style>
  <w:style w:type="character" w:customStyle="1" w:styleId="120">
    <w:name w:val="标题 7 Char"/>
    <w:link w:val="9"/>
    <w:qFormat/>
    <w:uiPriority w:val="0"/>
    <w:rPr>
      <w:b/>
      <w:kern w:val="2"/>
      <w:sz w:val="24"/>
    </w:rPr>
  </w:style>
  <w:style w:type="character" w:customStyle="1" w:styleId="121">
    <w:name w:val="标题 8 Char"/>
    <w:link w:val="10"/>
    <w:qFormat/>
    <w:uiPriority w:val="0"/>
    <w:rPr>
      <w:rFonts w:ascii="Arial" w:hAnsi="Arial" w:eastAsia="黑体"/>
      <w:kern w:val="2"/>
      <w:sz w:val="24"/>
    </w:rPr>
  </w:style>
  <w:style w:type="character" w:customStyle="1" w:styleId="122">
    <w:name w:val="标题 9 Char"/>
    <w:link w:val="11"/>
    <w:qFormat/>
    <w:uiPriority w:val="0"/>
    <w:rPr>
      <w:rFonts w:ascii="Arial" w:hAnsi="Arial" w:eastAsia="黑体"/>
      <w:kern w:val="2"/>
      <w:sz w:val="21"/>
    </w:rPr>
  </w:style>
  <w:style w:type="paragraph" w:customStyle="1" w:styleId="123">
    <w:name w:val="样式 标题 1 + 段前: 0.5 行 段后: 0.5 行"/>
    <w:basedOn w:val="2"/>
    <w:qFormat/>
    <w:uiPriority w:val="0"/>
    <w:pPr>
      <w:keepNext/>
      <w:keepLines/>
      <w:numPr>
        <w:ilvl w:val="0"/>
        <w:numId w:val="8"/>
      </w:numPr>
      <w:spacing w:beforeLines="50" w:afterLines="50" w:line="578" w:lineRule="auto"/>
      <w:ind w:left="0" w:firstLine="0"/>
      <w:jc w:val="both"/>
    </w:pPr>
    <w:rPr>
      <w:rFonts w:ascii="Times New Roman" w:hAnsi="Times New Roman" w:eastAsia="宋体" w:cs="宋体"/>
      <w:sz w:val="44"/>
      <w:szCs w:val="20"/>
    </w:rPr>
  </w:style>
  <w:style w:type="paragraph" w:customStyle="1" w:styleId="124">
    <w:name w:val="样式 标题 4 + 段前: 0.5 行 段后: 0.5 行"/>
    <w:basedOn w:val="4"/>
    <w:qFormat/>
    <w:uiPriority w:val="0"/>
    <w:pPr>
      <w:spacing w:beforeLines="50" w:afterLines="50" w:line="377" w:lineRule="auto"/>
      <w:ind w:left="2240"/>
      <w:jc w:val="left"/>
    </w:pPr>
    <w:rPr>
      <w:rFonts w:ascii="Cambria" w:hAnsi="Cambria" w:eastAsia="宋体" w:cs="宋体"/>
      <w:sz w:val="24"/>
      <w:szCs w:val="20"/>
    </w:rPr>
  </w:style>
  <w:style w:type="paragraph" w:customStyle="1" w:styleId="125">
    <w:name w:val="样式 标题 4 + 段前: 0.5 行 段后: 0.5 行1"/>
    <w:basedOn w:val="4"/>
    <w:qFormat/>
    <w:uiPriority w:val="0"/>
    <w:pPr>
      <w:spacing w:beforeLines="50" w:afterLines="50" w:line="377" w:lineRule="auto"/>
      <w:ind w:left="-2" w:leftChars="-1" w:firstLine="569" w:firstLineChars="236"/>
      <w:jc w:val="left"/>
    </w:pPr>
    <w:rPr>
      <w:rFonts w:ascii="Cambria" w:hAnsi="Cambria" w:eastAsia="宋体" w:cs="宋体"/>
      <w:sz w:val="24"/>
      <w:szCs w:val="20"/>
    </w:rPr>
  </w:style>
  <w:style w:type="paragraph" w:customStyle="1" w:styleId="126">
    <w:name w:val="￥正文"/>
    <w:basedOn w:val="1"/>
    <w:link w:val="127"/>
    <w:qFormat/>
    <w:uiPriority w:val="0"/>
    <w:pPr>
      <w:ind w:firstLine="200" w:firstLineChars="200"/>
    </w:pPr>
    <w:rPr>
      <w:rFonts w:ascii="Calibri" w:hAnsi="Calibri" w:cs="Times New Roman"/>
      <w:kern w:val="2"/>
      <w:sz w:val="24"/>
      <w:szCs w:val="20"/>
    </w:rPr>
  </w:style>
  <w:style w:type="character" w:customStyle="1" w:styleId="127">
    <w:name w:val="￥正文 Char"/>
    <w:link w:val="126"/>
    <w:qFormat/>
    <w:uiPriority w:val="0"/>
    <w:rPr>
      <w:rFonts w:ascii="Calibri" w:hAnsi="Calibri"/>
      <w:kern w:val="2"/>
      <w:sz w:val="24"/>
    </w:rPr>
  </w:style>
  <w:style w:type="paragraph" w:customStyle="1" w:styleId="128">
    <w:name w:val="样式 标题 4h4heading 4h41heading 41h42heading 42h411heading ..."/>
    <w:basedOn w:val="4"/>
    <w:qFormat/>
    <w:uiPriority w:val="0"/>
    <w:pPr>
      <w:spacing w:beforeLines="50" w:afterLines="50" w:line="377" w:lineRule="auto"/>
      <w:ind w:left="2240" w:right="220"/>
      <w:jc w:val="left"/>
    </w:pPr>
    <w:rPr>
      <w:rFonts w:ascii="Cambria" w:hAnsi="Cambria" w:eastAsia="宋体" w:cs="宋体"/>
      <w:sz w:val="24"/>
      <w:szCs w:val="20"/>
    </w:rPr>
  </w:style>
  <w:style w:type="paragraph" w:customStyle="1" w:styleId="129">
    <w:name w:val="!项目ALT+P"/>
    <w:basedOn w:val="1"/>
    <w:qFormat/>
    <w:uiPriority w:val="0"/>
    <w:pPr>
      <w:numPr>
        <w:ilvl w:val="0"/>
        <w:numId w:val="9"/>
      </w:numPr>
      <w:spacing w:line="320" w:lineRule="atLeast"/>
      <w:ind w:firstLine="0"/>
      <w:textAlignment w:val="baseline"/>
    </w:pPr>
    <w:rPr>
      <w:szCs w:val="21"/>
    </w:rPr>
  </w:style>
  <w:style w:type="paragraph" w:customStyle="1" w:styleId="130">
    <w:name w:val="样式 样式 (符号) 宋体 小四 行距: 1.5 倍行距 首行缩进:  1.5 字符 + 宋体 首行缩进:  2 字符"/>
    <w:basedOn w:val="1"/>
    <w:qFormat/>
    <w:uiPriority w:val="0"/>
    <w:pPr>
      <w:ind w:firstLine="480" w:firstLineChars="200"/>
    </w:pPr>
    <w:rPr>
      <w:sz w:val="24"/>
      <w:szCs w:val="20"/>
    </w:rPr>
  </w:style>
  <w:style w:type="paragraph" w:customStyle="1" w:styleId="131">
    <w:name w:val="正文内容"/>
    <w:basedOn w:val="1"/>
    <w:next w:val="16"/>
    <w:link w:val="132"/>
    <w:qFormat/>
    <w:uiPriority w:val="0"/>
    <w:rPr>
      <w:rFonts w:ascii="Times New Roman" w:hAnsi="Times New Roman" w:cs="Times New Roman"/>
      <w:sz w:val="20"/>
    </w:rPr>
  </w:style>
  <w:style w:type="character" w:customStyle="1" w:styleId="132">
    <w:name w:val="正文内容 Char"/>
    <w:link w:val="131"/>
    <w:qFormat/>
    <w:uiPriority w:val="0"/>
    <w:rPr>
      <w:szCs w:val="24"/>
    </w:rPr>
  </w:style>
  <w:style w:type="paragraph" w:customStyle="1" w:styleId="133">
    <w:name w:val="方案标题1"/>
    <w:basedOn w:val="42"/>
    <w:qFormat/>
    <w:uiPriority w:val="0"/>
    <w:pPr>
      <w:numPr>
        <w:ilvl w:val="0"/>
        <w:numId w:val="10"/>
      </w:numPr>
      <w:spacing w:beforeLines="50" w:afterLines="50"/>
      <w:ind w:firstLine="200" w:firstLineChars="200"/>
      <w:jc w:val="both"/>
    </w:pPr>
    <w:rPr>
      <w:color w:val="000000"/>
    </w:rPr>
  </w:style>
  <w:style w:type="paragraph" w:customStyle="1" w:styleId="134">
    <w:name w:val="方案标题2"/>
    <w:basedOn w:val="42"/>
    <w:qFormat/>
    <w:uiPriority w:val="0"/>
    <w:pPr>
      <w:numPr>
        <w:ilvl w:val="1"/>
        <w:numId w:val="10"/>
      </w:numPr>
      <w:spacing w:beforeLines="50" w:afterLines="50"/>
      <w:ind w:firstLine="200" w:firstLineChars="200"/>
      <w:jc w:val="left"/>
      <w:outlineLvl w:val="1"/>
    </w:pPr>
    <w:rPr>
      <w:rFonts w:eastAsia="仿宋_GB2312"/>
      <w:color w:val="000000"/>
      <w:sz w:val="30"/>
      <w:szCs w:val="30"/>
    </w:rPr>
  </w:style>
  <w:style w:type="paragraph" w:customStyle="1" w:styleId="135">
    <w:name w:val="方案标题3"/>
    <w:basedOn w:val="42"/>
    <w:qFormat/>
    <w:uiPriority w:val="0"/>
    <w:pPr>
      <w:numPr>
        <w:ilvl w:val="2"/>
        <w:numId w:val="10"/>
      </w:numPr>
      <w:spacing w:beforeLines="50" w:afterLines="50" w:line="440" w:lineRule="exact"/>
      <w:ind w:firstLine="200" w:firstLineChars="200"/>
      <w:jc w:val="left"/>
      <w:outlineLvl w:val="2"/>
    </w:pPr>
    <w:rPr>
      <w:rFonts w:ascii="黑体" w:eastAsia="黑体"/>
      <w:color w:val="000000"/>
      <w:sz w:val="28"/>
      <w:szCs w:val="24"/>
    </w:rPr>
  </w:style>
  <w:style w:type="character" w:customStyle="1" w:styleId="136">
    <w:name w:val="标题 Char"/>
    <w:link w:val="42"/>
    <w:qFormat/>
    <w:uiPriority w:val="0"/>
    <w:rPr>
      <w:rFonts w:ascii="Arial" w:hAnsi="Arial" w:cs="Arial"/>
      <w:b/>
      <w:bCs/>
      <w:kern w:val="2"/>
      <w:sz w:val="36"/>
      <w:szCs w:val="32"/>
    </w:rPr>
  </w:style>
  <w:style w:type="paragraph" w:customStyle="1" w:styleId="137">
    <w:name w:val="正文Land"/>
    <w:basedOn w:val="1"/>
    <w:qFormat/>
    <w:uiPriority w:val="0"/>
    <w:pPr>
      <w:spacing w:beforeLines="20" w:afterLines="50"/>
      <w:ind w:firstLine="200" w:firstLineChars="200"/>
    </w:pPr>
    <w:rPr>
      <w:color w:val="000000"/>
      <w:sz w:val="24"/>
    </w:rPr>
  </w:style>
  <w:style w:type="paragraph" w:customStyle="1" w:styleId="138">
    <w:name w:val="样式5"/>
    <w:basedOn w:val="1"/>
    <w:qFormat/>
    <w:uiPriority w:val="0"/>
    <w:pPr>
      <w:numPr>
        <w:ilvl w:val="0"/>
        <w:numId w:val="11"/>
      </w:numPr>
      <w:spacing w:beforeLines="50" w:afterLines="50"/>
      <w:ind w:firstLine="0"/>
    </w:pPr>
    <w:rPr>
      <w:rFonts w:eastAsia="仿宋_GB2312"/>
      <w:color w:val="000000"/>
      <w:sz w:val="24"/>
    </w:rPr>
  </w:style>
  <w:style w:type="paragraph" w:customStyle="1" w:styleId="139">
    <w:name w:val="font6"/>
    <w:basedOn w:val="1"/>
    <w:qFormat/>
    <w:uiPriority w:val="0"/>
    <w:pPr>
      <w:spacing w:beforeAutospacing="1" w:afterAutospacing="1"/>
      <w:jc w:val="left"/>
    </w:pPr>
    <w:rPr>
      <w:sz w:val="18"/>
      <w:szCs w:val="18"/>
    </w:rPr>
  </w:style>
  <w:style w:type="paragraph" w:customStyle="1" w:styleId="140">
    <w:name w:val="xl64"/>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41">
    <w:name w:val="xl70"/>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b/>
      <w:bCs/>
      <w:color w:val="000000"/>
      <w:sz w:val="24"/>
    </w:rPr>
  </w:style>
  <w:style w:type="paragraph" w:customStyle="1" w:styleId="142">
    <w:name w:val="xl71"/>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3">
    <w:name w:val="xl72"/>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textAlignment w:val="center"/>
    </w:pPr>
    <w:rPr>
      <w:color w:val="000000"/>
      <w:sz w:val="24"/>
    </w:rPr>
  </w:style>
  <w:style w:type="paragraph" w:customStyle="1" w:styleId="144">
    <w:name w:val="xl73"/>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textAlignment w:val="center"/>
    </w:pPr>
    <w:rPr>
      <w:color w:val="000000"/>
      <w:sz w:val="24"/>
    </w:rPr>
  </w:style>
  <w:style w:type="paragraph" w:customStyle="1" w:styleId="145">
    <w:name w:val="xl74"/>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center"/>
    </w:pPr>
    <w:rPr>
      <w:color w:val="000000"/>
      <w:sz w:val="24"/>
    </w:rPr>
  </w:style>
  <w:style w:type="paragraph" w:customStyle="1" w:styleId="146">
    <w:name w:val="xl75"/>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b/>
      <w:bCs/>
      <w:color w:val="000000"/>
      <w:sz w:val="24"/>
    </w:rPr>
  </w:style>
  <w:style w:type="paragraph" w:customStyle="1" w:styleId="147">
    <w:name w:val="xl76"/>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center"/>
      <w:textAlignment w:val="center"/>
    </w:pPr>
    <w:rPr>
      <w:color w:val="000000"/>
      <w:sz w:val="24"/>
    </w:rPr>
  </w:style>
  <w:style w:type="paragraph" w:customStyle="1" w:styleId="148">
    <w:name w:val="xl77"/>
    <w:basedOn w:val="1"/>
    <w:qFormat/>
    <w:uiPriority w:val="0"/>
    <w:pPr>
      <w:pBdr>
        <w:top w:val="single" w:color="auto" w:sz="4" w:space="0"/>
        <w:left w:val="single" w:color="auto" w:sz="4" w:space="0"/>
        <w:bottom w:val="single" w:color="auto" w:sz="4" w:space="0"/>
        <w:right w:val="single" w:color="auto" w:sz="4" w:space="0"/>
      </w:pBdr>
      <w:shd w:val="clear" w:color="000000" w:fill="F2F2F2"/>
      <w:spacing w:beforeAutospacing="1" w:afterAutospacing="1"/>
      <w:jc w:val="left"/>
      <w:textAlignment w:val="center"/>
    </w:pPr>
    <w:rPr>
      <w:color w:val="000000"/>
      <w:sz w:val="24"/>
    </w:rPr>
  </w:style>
  <w:style w:type="paragraph" w:customStyle="1" w:styleId="149">
    <w:name w:val="xl78"/>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b/>
      <w:bCs/>
      <w:color w:val="000000"/>
      <w:sz w:val="24"/>
    </w:rPr>
  </w:style>
  <w:style w:type="paragraph" w:customStyle="1" w:styleId="150">
    <w:name w:val="xl79"/>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1">
    <w:name w:val="xl80"/>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left"/>
      <w:textAlignment w:val="center"/>
    </w:pPr>
    <w:rPr>
      <w:color w:val="000000"/>
      <w:sz w:val="24"/>
    </w:rPr>
  </w:style>
  <w:style w:type="paragraph" w:customStyle="1" w:styleId="152">
    <w:name w:val="xl81"/>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textAlignment w:val="center"/>
    </w:pPr>
    <w:rPr>
      <w:color w:val="000000"/>
      <w:sz w:val="24"/>
    </w:rPr>
  </w:style>
  <w:style w:type="paragraph" w:customStyle="1" w:styleId="153">
    <w:name w:val="xl82"/>
    <w:basedOn w:val="1"/>
    <w:qFormat/>
    <w:uiPriority w:val="0"/>
    <w:pPr>
      <w:pBdr>
        <w:top w:val="single" w:color="auto" w:sz="4" w:space="0"/>
        <w:left w:val="single" w:color="auto" w:sz="4" w:space="0"/>
        <w:bottom w:val="single" w:color="auto" w:sz="4" w:space="0"/>
        <w:right w:val="single" w:color="auto" w:sz="4" w:space="0"/>
      </w:pBdr>
      <w:shd w:val="clear" w:color="000000" w:fill="E4DFEC"/>
      <w:spacing w:beforeAutospacing="1" w:afterAutospacing="1"/>
      <w:jc w:val="center"/>
    </w:pPr>
    <w:rPr>
      <w:color w:val="000000"/>
      <w:sz w:val="24"/>
    </w:rPr>
  </w:style>
  <w:style w:type="paragraph" w:customStyle="1" w:styleId="154">
    <w:name w:val="xl83"/>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b/>
      <w:bCs/>
      <w:color w:val="000000"/>
      <w:sz w:val="24"/>
    </w:rPr>
  </w:style>
  <w:style w:type="paragraph" w:customStyle="1" w:styleId="155">
    <w:name w:val="xl84"/>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6">
    <w:name w:val="xl85"/>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Autospacing="1" w:afterAutospacing="1"/>
      <w:jc w:val="left"/>
    </w:pPr>
    <w:rPr>
      <w:color w:val="000000"/>
      <w:sz w:val="24"/>
    </w:rPr>
  </w:style>
  <w:style w:type="paragraph" w:customStyle="1" w:styleId="157">
    <w:name w:val="xl86"/>
    <w:basedOn w:val="1"/>
    <w:qFormat/>
    <w:uiPriority w:val="0"/>
    <w:pPr>
      <w:pBdr>
        <w:top w:val="single" w:color="auto" w:sz="4" w:space="0"/>
        <w:left w:val="single" w:color="auto" w:sz="4" w:space="0"/>
        <w:bottom w:val="single" w:color="auto" w:sz="4" w:space="0"/>
        <w:right w:val="single" w:color="auto" w:sz="4" w:space="0"/>
      </w:pBdr>
      <w:shd w:val="clear" w:color="000000" w:fill="DCE6F1"/>
      <w:spacing w:beforeAutospacing="1" w:afterAutospacing="1"/>
      <w:jc w:val="left"/>
    </w:pPr>
    <w:rPr>
      <w:color w:val="000000"/>
      <w:sz w:val="24"/>
    </w:rPr>
  </w:style>
  <w:style w:type="paragraph" w:customStyle="1" w:styleId="158">
    <w:name w:val="xl87"/>
    <w:basedOn w:val="1"/>
    <w:qFormat/>
    <w:uiPriority w:val="0"/>
    <w:pPr>
      <w:spacing w:beforeAutospacing="1" w:afterAutospacing="1"/>
      <w:jc w:val="left"/>
    </w:pPr>
    <w:rPr>
      <w:sz w:val="24"/>
    </w:rPr>
  </w:style>
  <w:style w:type="paragraph" w:customStyle="1" w:styleId="159">
    <w:name w:val="xl8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b/>
      <w:bCs/>
      <w:color w:val="000000"/>
      <w:sz w:val="24"/>
    </w:rPr>
  </w:style>
  <w:style w:type="paragraph" w:customStyle="1" w:styleId="160">
    <w:name w:val="xl89"/>
    <w:basedOn w:val="1"/>
    <w:qFormat/>
    <w:uiPriority w:val="0"/>
    <w:pPr>
      <w:pBdr>
        <w:top w:val="single" w:color="auto" w:sz="4" w:space="0"/>
        <w:left w:val="single" w:color="auto" w:sz="4" w:space="0"/>
        <w:bottom w:val="single" w:color="auto" w:sz="4" w:space="0"/>
        <w:right w:val="single" w:color="auto" w:sz="4" w:space="0"/>
      </w:pBdr>
      <w:shd w:val="clear" w:color="000000" w:fill="CCFFFF"/>
      <w:spacing w:beforeAutospacing="1" w:afterAutospacing="1"/>
      <w:jc w:val="center"/>
      <w:textAlignment w:val="center"/>
    </w:pPr>
    <w:rPr>
      <w:b/>
      <w:bCs/>
      <w:color w:val="000000"/>
      <w:sz w:val="24"/>
    </w:rPr>
  </w:style>
  <w:style w:type="paragraph" w:customStyle="1" w:styleId="161">
    <w:name w:val="Bulleted Items--Level 2"/>
    <w:basedOn w:val="1"/>
    <w:qFormat/>
    <w:uiPriority w:val="0"/>
    <w:pPr>
      <w:numPr>
        <w:ilvl w:val="0"/>
        <w:numId w:val="12"/>
      </w:numPr>
      <w:tabs>
        <w:tab w:val="left" w:pos="1771"/>
        <w:tab w:val="left" w:pos="2520"/>
        <w:tab w:val="clear" w:pos="360"/>
      </w:tabs>
      <w:spacing w:line="280" w:lineRule="exact"/>
      <w:ind w:left="2520" w:firstLine="0"/>
    </w:pPr>
    <w:rPr>
      <w:color w:val="000000"/>
      <w:sz w:val="22"/>
      <w:szCs w:val="20"/>
      <w:lang w:eastAsia="en-US"/>
    </w:rPr>
  </w:style>
  <w:style w:type="paragraph" w:customStyle="1" w:styleId="162">
    <w:name w:val="xl9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2"/>
      <w:szCs w:val="22"/>
    </w:rPr>
  </w:style>
  <w:style w:type="paragraph" w:customStyle="1" w:styleId="163">
    <w:name w:val="xl91"/>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000000"/>
      <w:sz w:val="22"/>
      <w:szCs w:val="22"/>
    </w:rPr>
  </w:style>
  <w:style w:type="paragraph" w:customStyle="1" w:styleId="164">
    <w:name w:val="xl9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sz w:val="20"/>
      <w:szCs w:val="20"/>
    </w:rPr>
  </w:style>
  <w:style w:type="paragraph" w:customStyle="1" w:styleId="165">
    <w:name w:val="xl9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66">
    <w:name w:val="xl9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67">
    <w:name w:val="xl95"/>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sz w:val="22"/>
      <w:szCs w:val="22"/>
    </w:rPr>
  </w:style>
  <w:style w:type="paragraph" w:customStyle="1" w:styleId="168">
    <w:name w:val="xl96"/>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sz w:val="22"/>
      <w:szCs w:val="22"/>
    </w:rPr>
  </w:style>
  <w:style w:type="paragraph" w:customStyle="1" w:styleId="169">
    <w:name w:val="xl9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sz w:val="22"/>
      <w:szCs w:val="22"/>
    </w:rPr>
  </w:style>
  <w:style w:type="paragraph" w:customStyle="1" w:styleId="170">
    <w:name w:val="xl98"/>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sz w:val="22"/>
      <w:szCs w:val="22"/>
    </w:rPr>
  </w:style>
  <w:style w:type="paragraph" w:customStyle="1" w:styleId="171">
    <w:name w:val="xl9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sz w:val="22"/>
      <w:szCs w:val="22"/>
    </w:rPr>
  </w:style>
  <w:style w:type="paragraph" w:customStyle="1" w:styleId="172">
    <w:name w:val="xl10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left"/>
      <w:textAlignment w:val="center"/>
    </w:pPr>
    <w:rPr>
      <w:rFonts w:ascii="仿宋_GB2312" w:eastAsia="仿宋_GB2312"/>
      <w:color w:val="FF0000"/>
      <w:sz w:val="22"/>
      <w:szCs w:val="22"/>
    </w:rPr>
  </w:style>
  <w:style w:type="paragraph" w:customStyle="1" w:styleId="173">
    <w:name w:val="xl101"/>
    <w:basedOn w:val="1"/>
    <w:qFormat/>
    <w:uiPriority w:val="0"/>
    <w:pPr>
      <w:spacing w:beforeAutospacing="1" w:afterAutospacing="1"/>
      <w:jc w:val="left"/>
      <w:textAlignment w:val="center"/>
    </w:pPr>
    <w:rPr>
      <w:color w:val="FF0000"/>
      <w:sz w:val="20"/>
      <w:szCs w:val="20"/>
    </w:rPr>
  </w:style>
  <w:style w:type="paragraph" w:customStyle="1" w:styleId="174">
    <w:name w:val="xl10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175">
    <w:name w:val="xl103"/>
    <w:basedOn w:val="1"/>
    <w:qFormat/>
    <w:uiPriority w:val="0"/>
    <w:pPr>
      <w:spacing w:beforeAutospacing="1" w:afterAutospacing="1"/>
      <w:jc w:val="left"/>
      <w:textAlignment w:val="center"/>
    </w:pPr>
    <w:rPr>
      <w:color w:val="FF0000"/>
      <w:sz w:val="22"/>
      <w:szCs w:val="22"/>
    </w:rPr>
  </w:style>
  <w:style w:type="paragraph" w:customStyle="1" w:styleId="176">
    <w:name w:val="xl104"/>
    <w:basedOn w:val="1"/>
    <w:qFormat/>
    <w:uiPriority w:val="0"/>
    <w:pPr>
      <w:spacing w:beforeAutospacing="1" w:afterAutospacing="1"/>
      <w:jc w:val="center"/>
    </w:pPr>
    <w:rPr>
      <w:sz w:val="24"/>
    </w:rPr>
  </w:style>
  <w:style w:type="paragraph" w:customStyle="1" w:styleId="177">
    <w:name w:val="xl10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b/>
      <w:bCs/>
      <w:sz w:val="18"/>
      <w:szCs w:val="18"/>
    </w:rPr>
  </w:style>
  <w:style w:type="paragraph" w:customStyle="1" w:styleId="178">
    <w:name w:val="xl10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sz w:val="22"/>
      <w:szCs w:val="22"/>
    </w:rPr>
  </w:style>
  <w:style w:type="paragraph" w:customStyle="1" w:styleId="179">
    <w:name w:val="xl1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180">
    <w:name w:val="xl10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Courier New" w:hAnsi="Courier New" w:cs="Courier New"/>
      <w:sz w:val="22"/>
      <w:szCs w:val="22"/>
    </w:rPr>
  </w:style>
  <w:style w:type="paragraph" w:customStyle="1" w:styleId="181">
    <w:name w:val="xl10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Courier New" w:hAnsi="Courier New" w:cs="Courier New"/>
      <w:color w:val="FF0000"/>
      <w:sz w:val="22"/>
      <w:szCs w:val="22"/>
    </w:rPr>
  </w:style>
  <w:style w:type="paragraph" w:customStyle="1" w:styleId="182">
    <w:name w:val="xl11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000000"/>
      <w:sz w:val="22"/>
      <w:szCs w:val="22"/>
    </w:rPr>
  </w:style>
  <w:style w:type="paragraph" w:customStyle="1" w:styleId="183">
    <w:name w:val="xl111"/>
    <w:basedOn w:val="1"/>
    <w:qFormat/>
    <w:uiPriority w:val="0"/>
    <w:pPr>
      <w:pBdr>
        <w:top w:val="single" w:color="auto" w:sz="4" w:space="0"/>
        <w:left w:val="single" w:color="auto" w:sz="4" w:space="0"/>
        <w:bottom w:val="single" w:color="auto" w:sz="4" w:space="0"/>
        <w:right w:val="single" w:color="auto" w:sz="4" w:space="0"/>
      </w:pBdr>
      <w:shd w:val="clear" w:color="000000" w:fill="99CC00"/>
      <w:spacing w:beforeAutospacing="1" w:afterAutospacing="1"/>
      <w:jc w:val="center"/>
      <w:textAlignment w:val="center"/>
    </w:pPr>
    <w:rPr>
      <w:rFonts w:ascii="仿宋_GB2312" w:eastAsia="仿宋_GB2312"/>
      <w:sz w:val="22"/>
      <w:szCs w:val="22"/>
    </w:rPr>
  </w:style>
  <w:style w:type="paragraph" w:customStyle="1" w:styleId="184">
    <w:name w:val="xl11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85">
    <w:name w:val="xl113"/>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0"/>
      <w:szCs w:val="20"/>
    </w:rPr>
  </w:style>
  <w:style w:type="paragraph" w:customStyle="1" w:styleId="186">
    <w:name w:val="xl114"/>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sz w:val="22"/>
      <w:szCs w:val="22"/>
    </w:rPr>
  </w:style>
  <w:style w:type="paragraph" w:customStyle="1" w:styleId="187">
    <w:name w:val="xl11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8">
    <w:name w:val="xl116"/>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color w:val="FF0000"/>
      <w:sz w:val="22"/>
      <w:szCs w:val="22"/>
    </w:rPr>
  </w:style>
  <w:style w:type="paragraph" w:customStyle="1" w:styleId="189">
    <w:name w:val="xl117"/>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190">
    <w:name w:val="xl11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0"/>
      <w:szCs w:val="20"/>
    </w:rPr>
  </w:style>
  <w:style w:type="paragraph" w:customStyle="1" w:styleId="191">
    <w:name w:val="xl119"/>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2">
    <w:name w:val="xl12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2"/>
      <w:szCs w:val="22"/>
    </w:rPr>
  </w:style>
  <w:style w:type="paragraph" w:customStyle="1" w:styleId="193">
    <w:name w:val="xl121"/>
    <w:basedOn w:val="1"/>
    <w:qFormat/>
    <w:uiPriority w:val="0"/>
    <w:pPr>
      <w:pBdr>
        <w:top w:val="single" w:color="auto" w:sz="4" w:space="0"/>
        <w:left w:val="single" w:color="auto" w:sz="4" w:space="0"/>
        <w:bottom w:val="single" w:color="auto" w:sz="4" w:space="0"/>
        <w:right w:val="single" w:color="auto" w:sz="4" w:space="0"/>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194">
    <w:name w:val="xl122"/>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rFonts w:ascii="仿宋_GB2312" w:eastAsia="仿宋_GB2312"/>
      <w:sz w:val="22"/>
      <w:szCs w:val="22"/>
    </w:rPr>
  </w:style>
  <w:style w:type="paragraph" w:customStyle="1" w:styleId="195">
    <w:name w:val="xl123"/>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6">
    <w:name w:val="xl124"/>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pPr>
    <w:rPr>
      <w:rFonts w:ascii="仿宋_GB2312" w:eastAsia="仿宋_GB2312"/>
      <w:sz w:val="24"/>
    </w:rPr>
  </w:style>
  <w:style w:type="paragraph" w:customStyle="1" w:styleId="197">
    <w:name w:val="xl125"/>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198">
    <w:name w:val="xl126"/>
    <w:basedOn w:val="1"/>
    <w:qFormat/>
    <w:uiPriority w:val="0"/>
    <w:pPr>
      <w:pBdr>
        <w:top w:val="single" w:color="auto" w:sz="4" w:space="0"/>
        <w:left w:val="single" w:color="auto" w:sz="4" w:space="0"/>
        <w:bottom w:val="single" w:color="auto" w:sz="4" w:space="0"/>
        <w:right w:val="single" w:color="auto" w:sz="4" w:space="0"/>
      </w:pBdr>
      <w:shd w:val="clear" w:color="000000" w:fill="FF6600"/>
      <w:spacing w:beforeAutospacing="1" w:afterAutospacing="1"/>
      <w:jc w:val="center"/>
      <w:textAlignment w:val="center"/>
    </w:pPr>
    <w:rPr>
      <w:rFonts w:ascii="仿宋_GB2312" w:eastAsia="仿宋_GB2312"/>
      <w:sz w:val="22"/>
      <w:szCs w:val="22"/>
    </w:rPr>
  </w:style>
  <w:style w:type="paragraph" w:customStyle="1" w:styleId="199">
    <w:name w:val="xl127"/>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sz w:val="22"/>
      <w:szCs w:val="22"/>
    </w:rPr>
  </w:style>
  <w:style w:type="paragraph" w:customStyle="1" w:styleId="200">
    <w:name w:val="xl128"/>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sz w:val="22"/>
      <w:szCs w:val="22"/>
    </w:rPr>
  </w:style>
  <w:style w:type="paragraph" w:customStyle="1" w:styleId="201">
    <w:name w:val="xl129"/>
    <w:basedOn w:val="1"/>
    <w:qFormat/>
    <w:uiPriority w:val="0"/>
    <w:pPr>
      <w:pBdr>
        <w:top w:val="single" w:color="auto" w:sz="4" w:space="0"/>
        <w:left w:val="single" w:color="auto" w:sz="4" w:space="0"/>
        <w:bottom w:val="single" w:color="auto" w:sz="4" w:space="0"/>
        <w:right w:val="single" w:color="auto" w:sz="4" w:space="0"/>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202">
    <w:name w:val="xl130"/>
    <w:basedOn w:val="1"/>
    <w:qFormat/>
    <w:uiPriority w:val="0"/>
    <w:pPr>
      <w:pBdr>
        <w:top w:val="single" w:color="auto" w:sz="4" w:space="0"/>
        <w:left w:val="single" w:color="auto" w:sz="4" w:space="0"/>
        <w:bottom w:val="single" w:color="auto" w:sz="4" w:space="0"/>
        <w:right w:val="single" w:color="auto" w:sz="4" w:space="0"/>
      </w:pBdr>
      <w:spacing w:beforeAutospacing="1" w:afterAutospacing="1"/>
      <w:jc w:val="center"/>
      <w:textAlignment w:val="center"/>
    </w:pPr>
    <w:rPr>
      <w:color w:val="FF0000"/>
      <w:sz w:val="22"/>
      <w:szCs w:val="22"/>
    </w:rPr>
  </w:style>
  <w:style w:type="paragraph" w:customStyle="1" w:styleId="203">
    <w:name w:val="xl131"/>
    <w:basedOn w:val="1"/>
    <w:qFormat/>
    <w:uiPriority w:val="0"/>
    <w:pPr>
      <w:pBdr>
        <w:top w:val="single" w:color="auto" w:sz="4" w:space="0"/>
        <w:left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4">
    <w:name w:val="xl132"/>
    <w:basedOn w:val="1"/>
    <w:qFormat/>
    <w:uiPriority w:val="0"/>
    <w:pPr>
      <w:pBdr>
        <w:top w:val="single" w:color="auto" w:sz="4" w:space="0"/>
        <w:bottom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5">
    <w:name w:val="xl133"/>
    <w:basedOn w:val="1"/>
    <w:qFormat/>
    <w:uiPriority w:val="0"/>
    <w:pPr>
      <w:pBdr>
        <w:top w:val="single" w:color="auto" w:sz="4" w:space="0"/>
        <w:bottom w:val="single" w:color="auto" w:sz="4" w:space="0"/>
        <w:right w:val="single" w:color="auto" w:sz="4" w:space="0"/>
      </w:pBdr>
      <w:spacing w:beforeAutospacing="1" w:afterAutospacing="1"/>
      <w:jc w:val="center"/>
      <w:textAlignment w:val="center"/>
    </w:pPr>
    <w:rPr>
      <w:rFonts w:ascii="黑体" w:hAnsi="黑体" w:eastAsia="黑体"/>
      <w:b/>
      <w:bCs/>
      <w:sz w:val="28"/>
      <w:szCs w:val="28"/>
    </w:rPr>
  </w:style>
  <w:style w:type="paragraph" w:customStyle="1" w:styleId="206">
    <w:name w:val="样式 首行缩进:  0 字符"/>
    <w:basedOn w:val="1"/>
    <w:qFormat/>
    <w:uiPriority w:val="0"/>
    <w:pPr>
      <w:ind w:firstLine="200" w:firstLineChars="200"/>
    </w:pPr>
    <w:rPr>
      <w:sz w:val="24"/>
      <w:szCs w:val="20"/>
    </w:rPr>
  </w:style>
  <w:style w:type="paragraph" w:customStyle="1" w:styleId="207">
    <w:name w:val="5"/>
    <w:basedOn w:val="1"/>
    <w:qFormat/>
    <w:uiPriority w:val="0"/>
    <w:pPr>
      <w:ind w:firstLine="200" w:firstLineChars="200"/>
      <w:jc w:val="left"/>
    </w:pPr>
    <w:rPr>
      <w:sz w:val="24"/>
    </w:rPr>
  </w:style>
  <w:style w:type="paragraph" w:customStyle="1" w:styleId="208">
    <w:name w:val="正文1"/>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paragraph" w:customStyle="1" w:styleId="209">
    <w:name w:val="附件标题"/>
    <w:basedOn w:val="1"/>
    <w:qFormat/>
    <w:uiPriority w:val="0"/>
    <w:pPr>
      <w:ind w:firstLine="200" w:firstLineChars="200"/>
      <w:jc w:val="center"/>
    </w:pPr>
    <w:rPr>
      <w:rFonts w:ascii="Arial" w:hAnsi="Arial" w:eastAsia="黑体"/>
      <w:sz w:val="24"/>
    </w:rPr>
  </w:style>
  <w:style w:type="paragraph" w:customStyle="1" w:styleId="210">
    <w:name w:val="附件(1)"/>
    <w:basedOn w:val="1"/>
    <w:qFormat/>
    <w:uiPriority w:val="0"/>
    <w:pPr>
      <w:numPr>
        <w:ilvl w:val="0"/>
        <w:numId w:val="13"/>
      </w:numPr>
      <w:ind w:firstLine="200" w:firstLineChars="200"/>
    </w:pPr>
    <w:rPr>
      <w:sz w:val="24"/>
    </w:rPr>
  </w:style>
  <w:style w:type="paragraph" w:customStyle="1" w:styleId="211">
    <w:name w:val="附件1."/>
    <w:basedOn w:val="2"/>
    <w:qFormat/>
    <w:uiPriority w:val="0"/>
    <w:pPr>
      <w:tabs>
        <w:tab w:val="left" w:pos="360"/>
        <w:tab w:val="left" w:pos="420"/>
        <w:tab w:val="clear" w:pos="426"/>
      </w:tabs>
      <w:spacing w:before="0" w:after="0" w:line="360" w:lineRule="auto"/>
      <w:ind w:left="567" w:hanging="567"/>
      <w:jc w:val="both"/>
    </w:pPr>
    <w:rPr>
      <w:rFonts w:ascii="Times New Roman" w:hAnsi="Times New Roman" w:eastAsia="宋体"/>
      <w:b w:val="0"/>
      <w:sz w:val="24"/>
      <w:szCs w:val="44"/>
    </w:rPr>
  </w:style>
  <w:style w:type="paragraph" w:customStyle="1" w:styleId="212">
    <w:name w:val="附件圈"/>
    <w:basedOn w:val="210"/>
    <w:qFormat/>
    <w:uiPriority w:val="0"/>
    <w:pPr>
      <w:numPr>
        <w:numId w:val="0"/>
      </w:numPr>
      <w:tabs>
        <w:tab w:val="left" w:pos="420"/>
        <w:tab w:val="clear" w:pos="426"/>
      </w:tabs>
      <w:ind w:firstLine="420" w:firstLineChars="200"/>
    </w:pPr>
  </w:style>
  <w:style w:type="character" w:customStyle="1" w:styleId="213">
    <w:name w:val="正文文本缩进 2 Char"/>
    <w:link w:val="27"/>
    <w:qFormat/>
    <w:uiPriority w:val="0"/>
    <w:rPr>
      <w:rFonts w:ascii="宋体" w:hAnsi="宋体"/>
      <w:kern w:val="2"/>
      <w:sz w:val="21"/>
      <w:szCs w:val="24"/>
    </w:rPr>
  </w:style>
  <w:style w:type="character" w:customStyle="1" w:styleId="214">
    <w:name w:val="正文文本缩进 Char"/>
    <w:link w:val="21"/>
    <w:qFormat/>
    <w:uiPriority w:val="0"/>
    <w:rPr>
      <w:kern w:val="2"/>
      <w:sz w:val="21"/>
      <w:szCs w:val="24"/>
    </w:rPr>
  </w:style>
  <w:style w:type="paragraph" w:customStyle="1" w:styleId="215">
    <w:name w:val="样式 标题 2H2Heading 2 HiddenHeading 2 CCBSheading 22nd levelh..."/>
    <w:basedOn w:val="5"/>
    <w:qFormat/>
    <w:uiPriority w:val="0"/>
    <w:pPr>
      <w:adjustRightInd/>
      <w:spacing w:before="120" w:after="120"/>
      <w:ind w:left="576" w:hanging="576"/>
      <w:jc w:val="left"/>
      <w:textAlignment w:val="auto"/>
    </w:pPr>
    <w:rPr>
      <w:rFonts w:ascii="Arial" w:hAnsi="Arial" w:eastAsia="黑体" w:cs="宋体"/>
      <w:bCs/>
      <w:kern w:val="2"/>
      <w:sz w:val="28"/>
      <w:szCs w:val="28"/>
    </w:rPr>
  </w:style>
  <w:style w:type="paragraph" w:customStyle="1" w:styleId="216">
    <w:name w:val="样式 标题 2H2Heading 2 HiddenHeading 2 CCBSheading 22nd levelh...1"/>
    <w:basedOn w:val="5"/>
    <w:qFormat/>
    <w:uiPriority w:val="0"/>
    <w:pPr>
      <w:adjustRightInd/>
      <w:spacing w:before="240" w:after="240"/>
      <w:ind w:left="576" w:hanging="576"/>
      <w:jc w:val="left"/>
      <w:textAlignment w:val="auto"/>
    </w:pPr>
    <w:rPr>
      <w:bCs/>
      <w:kern w:val="2"/>
      <w:sz w:val="28"/>
      <w:szCs w:val="28"/>
    </w:rPr>
  </w:style>
  <w:style w:type="character" w:customStyle="1" w:styleId="217">
    <w:name w:val="Default Char"/>
    <w:link w:val="80"/>
    <w:qFormat/>
    <w:uiPriority w:val="0"/>
    <w:rPr>
      <w:rFonts w:ascii="宋体" w:hAnsi="Calibri"/>
      <w:color w:val="000000"/>
      <w:sz w:val="24"/>
      <w:szCs w:val="24"/>
      <w:lang w:bidi="ar-SA"/>
    </w:rPr>
  </w:style>
  <w:style w:type="paragraph" w:customStyle="1" w:styleId="218">
    <w:name w:val="CM51"/>
    <w:basedOn w:val="80"/>
    <w:next w:val="80"/>
    <w:qFormat/>
    <w:uiPriority w:val="0"/>
    <w:pPr>
      <w:spacing w:after="103"/>
    </w:pPr>
    <w:rPr>
      <w:rFonts w:ascii="黑体" w:eastAsia="黑体"/>
      <w:color w:val="auto"/>
    </w:rPr>
  </w:style>
  <w:style w:type="paragraph" w:customStyle="1" w:styleId="219">
    <w:name w:val="pan"/>
    <w:basedOn w:val="78"/>
    <w:link w:val="220"/>
    <w:qFormat/>
    <w:uiPriority w:val="0"/>
    <w:pPr>
      <w:numPr>
        <w:ilvl w:val="0"/>
        <w:numId w:val="14"/>
      </w:numPr>
      <w:tabs>
        <w:tab w:val="left" w:pos="840"/>
      </w:tabs>
      <w:ind w:left="840" w:hanging="420" w:firstLineChars="0"/>
      <w:outlineLvl w:val="0"/>
    </w:pPr>
    <w:rPr>
      <w:rFonts w:ascii="黑体" w:hAnsi="黑体" w:eastAsia="黑体"/>
      <w:sz w:val="32"/>
      <w:szCs w:val="32"/>
    </w:rPr>
  </w:style>
  <w:style w:type="character" w:customStyle="1" w:styleId="220">
    <w:name w:val="pan Char"/>
    <w:link w:val="219"/>
    <w:qFormat/>
    <w:uiPriority w:val="0"/>
    <w:rPr>
      <w:rFonts w:ascii="黑体" w:hAnsi="黑体" w:eastAsia="黑体"/>
      <w:kern w:val="2"/>
      <w:sz w:val="32"/>
      <w:szCs w:val="32"/>
      <w:shd w:val="clear" w:color="auto" w:fill="FFFFFF"/>
    </w:rPr>
  </w:style>
  <w:style w:type="paragraph" w:customStyle="1" w:styleId="221">
    <w:name w:val="pan2"/>
    <w:basedOn w:val="78"/>
    <w:link w:val="222"/>
    <w:qFormat/>
    <w:uiPriority w:val="0"/>
    <w:pPr>
      <w:numPr>
        <w:ilvl w:val="1"/>
        <w:numId w:val="14"/>
      </w:numPr>
      <w:tabs>
        <w:tab w:val="left" w:pos="840"/>
      </w:tabs>
      <w:ind w:left="840" w:hanging="420" w:firstLineChars="0"/>
      <w:outlineLvl w:val="1"/>
    </w:pPr>
    <w:rPr>
      <w:rFonts w:ascii="黑体" w:hAnsi="黑体" w:eastAsia="黑体"/>
      <w:sz w:val="30"/>
      <w:szCs w:val="30"/>
    </w:rPr>
  </w:style>
  <w:style w:type="character" w:customStyle="1" w:styleId="222">
    <w:name w:val="pan2 Char"/>
    <w:link w:val="221"/>
    <w:qFormat/>
    <w:uiPriority w:val="0"/>
    <w:rPr>
      <w:rFonts w:ascii="黑体" w:hAnsi="黑体" w:eastAsia="黑体"/>
      <w:kern w:val="2"/>
      <w:sz w:val="30"/>
      <w:szCs w:val="30"/>
      <w:shd w:val="clear" w:color="auto" w:fill="FFFFFF"/>
    </w:rPr>
  </w:style>
  <w:style w:type="paragraph" w:customStyle="1" w:styleId="223">
    <w:name w:val="pan3"/>
    <w:basedOn w:val="78"/>
    <w:link w:val="224"/>
    <w:qFormat/>
    <w:uiPriority w:val="0"/>
    <w:pPr>
      <w:numPr>
        <w:ilvl w:val="2"/>
        <w:numId w:val="14"/>
      </w:numPr>
      <w:tabs>
        <w:tab w:val="left" w:pos="1260"/>
      </w:tabs>
      <w:ind w:left="1260" w:hanging="420" w:firstLineChars="0"/>
      <w:outlineLvl w:val="2"/>
    </w:pPr>
    <w:rPr>
      <w:rFonts w:ascii="黑体" w:hAnsi="黑体" w:eastAsia="黑体"/>
      <w:sz w:val="28"/>
      <w:szCs w:val="28"/>
    </w:rPr>
  </w:style>
  <w:style w:type="character" w:customStyle="1" w:styleId="224">
    <w:name w:val="pan3 Char"/>
    <w:link w:val="223"/>
    <w:qFormat/>
    <w:uiPriority w:val="0"/>
    <w:rPr>
      <w:rFonts w:ascii="黑体" w:hAnsi="黑体" w:eastAsia="黑体"/>
      <w:kern w:val="2"/>
      <w:sz w:val="28"/>
      <w:szCs w:val="28"/>
      <w:shd w:val="clear" w:color="auto" w:fill="FFFFFF"/>
    </w:rPr>
  </w:style>
  <w:style w:type="paragraph" w:customStyle="1" w:styleId="225">
    <w:name w:val="pan4"/>
    <w:basedOn w:val="78"/>
    <w:link w:val="226"/>
    <w:qFormat/>
    <w:uiPriority w:val="0"/>
    <w:pPr>
      <w:numPr>
        <w:ilvl w:val="3"/>
        <w:numId w:val="14"/>
      </w:numPr>
      <w:tabs>
        <w:tab w:val="left" w:pos="1680"/>
      </w:tabs>
      <w:ind w:left="1680" w:hanging="420" w:firstLineChars="0"/>
      <w:outlineLvl w:val="3"/>
    </w:pPr>
    <w:rPr>
      <w:rFonts w:ascii="黑体" w:hAnsi="黑体" w:eastAsia="黑体"/>
      <w:sz w:val="28"/>
      <w:szCs w:val="28"/>
    </w:rPr>
  </w:style>
  <w:style w:type="character" w:customStyle="1" w:styleId="226">
    <w:name w:val="pan4 Char"/>
    <w:link w:val="225"/>
    <w:qFormat/>
    <w:uiPriority w:val="0"/>
    <w:rPr>
      <w:rFonts w:ascii="黑体" w:hAnsi="黑体" w:eastAsia="黑体"/>
      <w:kern w:val="2"/>
      <w:sz w:val="28"/>
      <w:szCs w:val="28"/>
      <w:shd w:val="clear" w:color="auto" w:fill="FFFFFF"/>
    </w:rPr>
  </w:style>
  <w:style w:type="paragraph" w:customStyle="1" w:styleId="227">
    <w:name w:val="pan5"/>
    <w:basedOn w:val="78"/>
    <w:link w:val="228"/>
    <w:qFormat/>
    <w:uiPriority w:val="0"/>
    <w:pPr>
      <w:numPr>
        <w:ilvl w:val="4"/>
        <w:numId w:val="14"/>
      </w:numPr>
      <w:tabs>
        <w:tab w:val="left" w:pos="1008"/>
      </w:tabs>
      <w:ind w:left="1008" w:hanging="1008" w:firstLineChars="0"/>
      <w:outlineLvl w:val="4"/>
    </w:pPr>
    <w:rPr>
      <w:rFonts w:ascii="黑体" w:hAnsi="黑体" w:eastAsia="黑体"/>
      <w:sz w:val="24"/>
    </w:rPr>
  </w:style>
  <w:style w:type="character" w:customStyle="1" w:styleId="228">
    <w:name w:val="pan5 Char"/>
    <w:link w:val="227"/>
    <w:qFormat/>
    <w:uiPriority w:val="0"/>
    <w:rPr>
      <w:rFonts w:ascii="黑体" w:hAnsi="黑体" w:eastAsia="黑体"/>
      <w:kern w:val="2"/>
      <w:sz w:val="24"/>
      <w:szCs w:val="24"/>
      <w:shd w:val="clear" w:color="auto" w:fill="FFFFFF"/>
    </w:rPr>
  </w:style>
  <w:style w:type="paragraph" w:customStyle="1" w:styleId="229">
    <w:name w:val="一级标题"/>
    <w:basedOn w:val="78"/>
    <w:link w:val="231"/>
    <w:qFormat/>
    <w:uiPriority w:val="0"/>
    <w:pPr>
      <w:numPr>
        <w:ilvl w:val="0"/>
        <w:numId w:val="15"/>
      </w:numPr>
      <w:spacing w:line="720" w:lineRule="auto"/>
      <w:ind w:firstLineChars="0"/>
      <w:jc w:val="center"/>
      <w:outlineLvl w:val="0"/>
    </w:pPr>
    <w:rPr>
      <w:rFonts w:ascii="黑体" w:hAnsi="黑体" w:eastAsia="黑体"/>
      <w:sz w:val="44"/>
      <w:szCs w:val="44"/>
    </w:rPr>
  </w:style>
  <w:style w:type="paragraph" w:customStyle="1" w:styleId="230">
    <w:name w:val="二级标题"/>
    <w:basedOn w:val="78"/>
    <w:link w:val="233"/>
    <w:qFormat/>
    <w:uiPriority w:val="0"/>
    <w:pPr>
      <w:numPr>
        <w:ilvl w:val="1"/>
        <w:numId w:val="15"/>
      </w:numPr>
      <w:spacing w:line="720" w:lineRule="auto"/>
      <w:ind w:firstLineChars="0"/>
      <w:outlineLvl w:val="1"/>
    </w:pPr>
    <w:rPr>
      <w:rFonts w:ascii="黑体" w:hAnsi="黑体" w:eastAsia="黑体"/>
      <w:sz w:val="36"/>
      <w:szCs w:val="36"/>
    </w:rPr>
  </w:style>
  <w:style w:type="character" w:customStyle="1" w:styleId="231">
    <w:name w:val="一级标题 Char"/>
    <w:link w:val="229"/>
    <w:qFormat/>
    <w:uiPriority w:val="0"/>
    <w:rPr>
      <w:rFonts w:ascii="黑体" w:hAnsi="黑体" w:eastAsia="黑体"/>
      <w:kern w:val="2"/>
      <w:sz w:val="44"/>
      <w:szCs w:val="44"/>
      <w:shd w:val="clear" w:color="auto" w:fill="FFFFFF"/>
    </w:rPr>
  </w:style>
  <w:style w:type="paragraph" w:customStyle="1" w:styleId="232">
    <w:name w:val="三级标题"/>
    <w:basedOn w:val="78"/>
    <w:link w:val="235"/>
    <w:qFormat/>
    <w:uiPriority w:val="0"/>
    <w:pPr>
      <w:numPr>
        <w:ilvl w:val="2"/>
        <w:numId w:val="15"/>
      </w:numPr>
      <w:spacing w:line="720" w:lineRule="auto"/>
      <w:ind w:firstLineChars="0"/>
      <w:outlineLvl w:val="2"/>
    </w:pPr>
    <w:rPr>
      <w:rFonts w:ascii="黑体" w:hAnsi="黑体" w:eastAsia="黑体"/>
      <w:sz w:val="32"/>
      <w:szCs w:val="32"/>
    </w:rPr>
  </w:style>
  <w:style w:type="character" w:customStyle="1" w:styleId="233">
    <w:name w:val="二级标题 Char"/>
    <w:link w:val="230"/>
    <w:qFormat/>
    <w:uiPriority w:val="0"/>
    <w:rPr>
      <w:rFonts w:ascii="黑体" w:hAnsi="黑体" w:eastAsia="黑体"/>
      <w:kern w:val="2"/>
      <w:sz w:val="36"/>
      <w:szCs w:val="36"/>
      <w:shd w:val="clear" w:color="auto" w:fill="FFFFFF"/>
    </w:rPr>
  </w:style>
  <w:style w:type="paragraph" w:customStyle="1" w:styleId="234">
    <w:name w:val="四级标题"/>
    <w:basedOn w:val="78"/>
    <w:link w:val="237"/>
    <w:qFormat/>
    <w:uiPriority w:val="0"/>
    <w:pPr>
      <w:numPr>
        <w:ilvl w:val="3"/>
        <w:numId w:val="15"/>
      </w:numPr>
      <w:spacing w:line="720" w:lineRule="auto"/>
      <w:ind w:firstLineChars="0"/>
      <w:outlineLvl w:val="3"/>
    </w:pPr>
    <w:rPr>
      <w:rFonts w:ascii="黑体" w:hAnsi="黑体" w:eastAsia="黑体"/>
      <w:sz w:val="30"/>
      <w:szCs w:val="30"/>
    </w:rPr>
  </w:style>
  <w:style w:type="character" w:customStyle="1" w:styleId="235">
    <w:name w:val="三级标题 Char"/>
    <w:link w:val="232"/>
    <w:qFormat/>
    <w:uiPriority w:val="0"/>
    <w:rPr>
      <w:rFonts w:ascii="黑体" w:hAnsi="黑体" w:eastAsia="黑体"/>
      <w:kern w:val="2"/>
      <w:sz w:val="32"/>
      <w:szCs w:val="32"/>
      <w:shd w:val="clear" w:color="auto" w:fill="FFFFFF"/>
    </w:rPr>
  </w:style>
  <w:style w:type="paragraph" w:customStyle="1" w:styleId="236">
    <w:name w:val="五级标题"/>
    <w:basedOn w:val="78"/>
    <w:link w:val="238"/>
    <w:qFormat/>
    <w:uiPriority w:val="0"/>
    <w:pPr>
      <w:numPr>
        <w:ilvl w:val="4"/>
        <w:numId w:val="15"/>
      </w:numPr>
      <w:spacing w:line="720" w:lineRule="auto"/>
      <w:ind w:firstLineChars="0"/>
      <w:outlineLvl w:val="4"/>
    </w:pPr>
    <w:rPr>
      <w:rFonts w:ascii="黑体" w:hAnsi="黑体" w:eastAsia="黑体"/>
      <w:sz w:val="28"/>
      <w:szCs w:val="28"/>
    </w:rPr>
  </w:style>
  <w:style w:type="character" w:customStyle="1" w:styleId="237">
    <w:name w:val="四级标题 Char"/>
    <w:link w:val="234"/>
    <w:qFormat/>
    <w:uiPriority w:val="0"/>
    <w:rPr>
      <w:rFonts w:ascii="黑体" w:hAnsi="黑体" w:eastAsia="黑体"/>
      <w:kern w:val="2"/>
      <w:sz w:val="30"/>
      <w:szCs w:val="30"/>
      <w:shd w:val="clear" w:color="auto" w:fill="FFFFFF"/>
    </w:rPr>
  </w:style>
  <w:style w:type="character" w:customStyle="1" w:styleId="238">
    <w:name w:val="五级标题 Char"/>
    <w:link w:val="236"/>
    <w:qFormat/>
    <w:uiPriority w:val="0"/>
    <w:rPr>
      <w:rFonts w:ascii="黑体" w:hAnsi="黑体" w:eastAsia="黑体"/>
      <w:kern w:val="2"/>
      <w:sz w:val="28"/>
      <w:szCs w:val="28"/>
      <w:shd w:val="clear" w:color="auto" w:fill="FFFFFF"/>
    </w:rPr>
  </w:style>
  <w:style w:type="paragraph" w:customStyle="1" w:styleId="239">
    <w:name w:val="图片"/>
    <w:basedOn w:val="1"/>
    <w:link w:val="241"/>
    <w:qFormat/>
    <w:uiPriority w:val="0"/>
    <w:pPr>
      <w:ind w:firstLine="200" w:firstLineChars="200"/>
      <w:jc w:val="center"/>
    </w:pPr>
    <w:rPr>
      <w:rFonts w:cs="Times New Roman"/>
      <w:kern w:val="2"/>
      <w:sz w:val="24"/>
    </w:rPr>
  </w:style>
  <w:style w:type="paragraph" w:customStyle="1" w:styleId="240">
    <w:name w:val="图片注释"/>
    <w:basedOn w:val="1"/>
    <w:link w:val="242"/>
    <w:qFormat/>
    <w:uiPriority w:val="0"/>
    <w:pPr>
      <w:spacing w:afterLines="25"/>
      <w:ind w:firstLine="200" w:firstLineChars="200"/>
      <w:jc w:val="center"/>
    </w:pPr>
    <w:rPr>
      <w:rFonts w:cs="Times New Roman"/>
      <w:kern w:val="2"/>
      <w:sz w:val="24"/>
      <w:u w:val="single"/>
    </w:rPr>
  </w:style>
  <w:style w:type="character" w:customStyle="1" w:styleId="241">
    <w:name w:val="图片 Char"/>
    <w:link w:val="239"/>
    <w:qFormat/>
    <w:uiPriority w:val="0"/>
    <w:rPr>
      <w:rFonts w:ascii="宋体" w:hAnsi="宋体"/>
      <w:kern w:val="2"/>
      <w:sz w:val="24"/>
      <w:szCs w:val="24"/>
    </w:rPr>
  </w:style>
  <w:style w:type="character" w:customStyle="1" w:styleId="242">
    <w:name w:val="图片注释 Char"/>
    <w:link w:val="240"/>
    <w:qFormat/>
    <w:uiPriority w:val="0"/>
    <w:rPr>
      <w:rFonts w:ascii="宋体" w:hAnsi="宋体"/>
      <w:kern w:val="2"/>
      <w:sz w:val="24"/>
      <w:szCs w:val="24"/>
      <w:u w:val="single"/>
    </w:rPr>
  </w:style>
  <w:style w:type="paragraph" w:customStyle="1" w:styleId="243">
    <w:name w:val="段内层标"/>
    <w:basedOn w:val="131"/>
    <w:link w:val="244"/>
    <w:qFormat/>
    <w:uiPriority w:val="0"/>
    <w:pPr>
      <w:numPr>
        <w:ilvl w:val="0"/>
        <w:numId w:val="16"/>
      </w:numPr>
      <w:spacing w:beforeLines="25" w:afterLines="25"/>
      <w:ind w:firstLine="200" w:firstLineChars="200"/>
    </w:pPr>
    <w:rPr>
      <w:rFonts w:ascii="宋体" w:hAnsi="宋体"/>
      <w:b/>
      <w:kern w:val="2"/>
      <w:sz w:val="28"/>
      <w:szCs w:val="28"/>
    </w:rPr>
  </w:style>
  <w:style w:type="character" w:customStyle="1" w:styleId="244">
    <w:name w:val="段内层标 Char"/>
    <w:link w:val="243"/>
    <w:qFormat/>
    <w:uiPriority w:val="0"/>
    <w:rPr>
      <w:rFonts w:ascii="宋体" w:hAnsi="宋体"/>
      <w:b/>
      <w:kern w:val="2"/>
      <w:sz w:val="28"/>
      <w:szCs w:val="28"/>
      <w:shd w:val="clear" w:color="auto" w:fill="FFFFFF"/>
    </w:rPr>
  </w:style>
  <w:style w:type="paragraph" w:customStyle="1" w:styleId="245">
    <w:name w:val="方案设计1级标题"/>
    <w:basedOn w:val="78"/>
    <w:qFormat/>
    <w:uiPriority w:val="0"/>
    <w:pPr>
      <w:tabs>
        <w:tab w:val="left" w:pos="840"/>
      </w:tabs>
      <w:ind w:left="840" w:firstLine="0" w:firstLineChars="0"/>
      <w:jc w:val="center"/>
      <w:outlineLvl w:val="0"/>
    </w:pPr>
    <w:rPr>
      <w:rFonts w:ascii="黑体" w:hAnsi="黑体" w:eastAsia="黑体"/>
      <w:sz w:val="44"/>
      <w:szCs w:val="44"/>
    </w:rPr>
  </w:style>
  <w:style w:type="paragraph" w:customStyle="1" w:styleId="246">
    <w:name w:val="方案设计2级标题"/>
    <w:basedOn w:val="78"/>
    <w:qFormat/>
    <w:uiPriority w:val="0"/>
    <w:pPr>
      <w:numPr>
        <w:ilvl w:val="1"/>
        <w:numId w:val="17"/>
      </w:numPr>
      <w:ind w:firstLine="0" w:firstLineChars="0"/>
      <w:outlineLvl w:val="1"/>
    </w:pPr>
    <w:rPr>
      <w:rFonts w:ascii="黑体" w:hAnsi="黑体" w:eastAsia="黑体"/>
      <w:sz w:val="32"/>
      <w:szCs w:val="32"/>
    </w:rPr>
  </w:style>
  <w:style w:type="paragraph" w:customStyle="1" w:styleId="247">
    <w:name w:val="标题3"/>
    <w:basedOn w:val="78"/>
    <w:link w:val="252"/>
    <w:qFormat/>
    <w:uiPriority w:val="0"/>
    <w:pPr>
      <w:numPr>
        <w:ilvl w:val="2"/>
        <w:numId w:val="17"/>
      </w:numPr>
      <w:ind w:firstLine="0" w:firstLineChars="0"/>
      <w:outlineLvl w:val="2"/>
    </w:pPr>
    <w:rPr>
      <w:rFonts w:ascii="黑体" w:hAnsi="黑体" w:eastAsia="黑体"/>
      <w:sz w:val="28"/>
      <w:szCs w:val="28"/>
    </w:rPr>
  </w:style>
  <w:style w:type="paragraph" w:customStyle="1" w:styleId="248">
    <w:name w:val="标题5"/>
    <w:basedOn w:val="78"/>
    <w:qFormat/>
    <w:uiPriority w:val="0"/>
    <w:pPr>
      <w:tabs>
        <w:tab w:val="left" w:pos="2038"/>
      </w:tabs>
      <w:ind w:left="2038" w:hanging="420" w:firstLineChars="0"/>
      <w:jc w:val="left"/>
      <w:outlineLvl w:val="4"/>
    </w:pPr>
    <w:rPr>
      <w:rFonts w:ascii="黑体" w:hAnsi="黑体" w:eastAsia="黑体"/>
      <w:sz w:val="28"/>
      <w:szCs w:val="28"/>
    </w:rPr>
  </w:style>
  <w:style w:type="paragraph" w:customStyle="1" w:styleId="249">
    <w:name w:val="正文标题"/>
    <w:basedOn w:val="1"/>
    <w:link w:val="250"/>
    <w:qFormat/>
    <w:uiPriority w:val="0"/>
    <w:pPr>
      <w:numPr>
        <w:ilvl w:val="0"/>
        <w:numId w:val="17"/>
      </w:numPr>
      <w:ind w:firstLine="200" w:firstLineChars="200"/>
    </w:pPr>
    <w:rPr>
      <w:rFonts w:ascii="Calibri" w:hAnsi="Calibri" w:cs="Times New Roman"/>
      <w:b/>
      <w:kern w:val="2"/>
      <w:sz w:val="28"/>
      <w:szCs w:val="28"/>
    </w:rPr>
  </w:style>
  <w:style w:type="character" w:customStyle="1" w:styleId="250">
    <w:name w:val="正文标题 Char"/>
    <w:link w:val="249"/>
    <w:qFormat/>
    <w:uiPriority w:val="0"/>
    <w:rPr>
      <w:rFonts w:ascii="Calibri" w:hAnsi="Calibri"/>
      <w:b/>
      <w:kern w:val="2"/>
      <w:sz w:val="28"/>
      <w:szCs w:val="28"/>
      <w:shd w:val="clear" w:color="auto" w:fill="FFFFFF"/>
    </w:rPr>
  </w:style>
  <w:style w:type="character" w:customStyle="1" w:styleId="251">
    <w:name w:val="批注主题 Char"/>
    <w:link w:val="43"/>
    <w:qFormat/>
    <w:uiPriority w:val="0"/>
    <w:rPr>
      <w:b/>
      <w:bCs/>
      <w:kern w:val="2"/>
      <w:sz w:val="21"/>
      <w:szCs w:val="24"/>
    </w:rPr>
  </w:style>
  <w:style w:type="character" w:customStyle="1" w:styleId="252">
    <w:name w:val="标题3 Char"/>
    <w:link w:val="247"/>
    <w:qFormat/>
    <w:uiPriority w:val="0"/>
    <w:rPr>
      <w:rFonts w:ascii="黑体" w:hAnsi="黑体" w:eastAsia="黑体"/>
      <w:kern w:val="2"/>
      <w:sz w:val="28"/>
      <w:szCs w:val="28"/>
      <w:shd w:val="clear" w:color="auto" w:fill="FFFFFF"/>
    </w:rPr>
  </w:style>
  <w:style w:type="paragraph" w:customStyle="1" w:styleId="253">
    <w:name w:val="样式 Verdana 四号 首行缩进:  2 字符"/>
    <w:basedOn w:val="1"/>
    <w:qFormat/>
    <w:uiPriority w:val="0"/>
    <w:pPr>
      <w:ind w:firstLine="560" w:firstLineChars="200"/>
      <w:jc w:val="left"/>
    </w:pPr>
    <w:rPr>
      <w:rFonts w:ascii="Verdana" w:hAnsi="Verdana"/>
      <w:sz w:val="24"/>
      <w:szCs w:val="20"/>
    </w:rPr>
  </w:style>
  <w:style w:type="paragraph" w:customStyle="1" w:styleId="254">
    <w:name w:val="层标"/>
    <w:basedOn w:val="131"/>
    <w:link w:val="255"/>
    <w:qFormat/>
    <w:uiPriority w:val="0"/>
    <w:pPr>
      <w:numPr>
        <w:ilvl w:val="0"/>
        <w:numId w:val="18"/>
      </w:numPr>
      <w:spacing w:beforeLines="25" w:afterLines="25"/>
      <w:ind w:firstLine="0"/>
    </w:pPr>
    <w:rPr>
      <w:rFonts w:ascii="宋体" w:hAnsi="宋体"/>
      <w:b/>
      <w:kern w:val="2"/>
      <w:sz w:val="28"/>
      <w:szCs w:val="28"/>
    </w:rPr>
  </w:style>
  <w:style w:type="character" w:customStyle="1" w:styleId="255">
    <w:name w:val="层标 Char"/>
    <w:link w:val="254"/>
    <w:qFormat/>
    <w:uiPriority w:val="0"/>
    <w:rPr>
      <w:rFonts w:ascii="宋体" w:hAnsi="宋体"/>
      <w:b/>
      <w:kern w:val="2"/>
      <w:sz w:val="28"/>
      <w:szCs w:val="28"/>
      <w:shd w:val="clear" w:color="auto" w:fill="FFFFFF"/>
    </w:rPr>
  </w:style>
  <w:style w:type="paragraph" w:styleId="256">
    <w:name w:val="Quote"/>
    <w:basedOn w:val="1"/>
    <w:next w:val="1"/>
    <w:link w:val="257"/>
    <w:qFormat/>
    <w:uiPriority w:val="29"/>
    <w:pPr>
      <w:jc w:val="center"/>
    </w:pPr>
    <w:rPr>
      <w:rFonts w:ascii="Times New Roman" w:hAnsi="Times New Roman" w:cs="Times New Roman"/>
      <w:iCs/>
      <w:color w:val="000000"/>
      <w:kern w:val="2"/>
      <w:sz w:val="24"/>
    </w:rPr>
  </w:style>
  <w:style w:type="character" w:customStyle="1" w:styleId="257">
    <w:name w:val="引用 Char"/>
    <w:link w:val="256"/>
    <w:qFormat/>
    <w:uiPriority w:val="29"/>
    <w:rPr>
      <w:iCs/>
      <w:color w:val="000000"/>
      <w:kern w:val="2"/>
      <w:sz w:val="24"/>
      <w:szCs w:val="24"/>
    </w:rPr>
  </w:style>
  <w:style w:type="character" w:customStyle="1" w:styleId="258">
    <w:name w:val="明显参考1"/>
    <w:qFormat/>
    <w:uiPriority w:val="32"/>
    <w:rPr>
      <w:rFonts w:eastAsia="宋体"/>
      <w:bCs/>
      <w:smallCaps/>
      <w:color w:val="000000"/>
      <w:spacing w:val="5"/>
      <w:sz w:val="24"/>
      <w:u w:val="single"/>
    </w:rPr>
  </w:style>
  <w:style w:type="paragraph" w:customStyle="1" w:styleId="259">
    <w:name w:val="段落强调"/>
    <w:basedOn w:val="1"/>
    <w:link w:val="261"/>
    <w:qFormat/>
    <w:uiPriority w:val="0"/>
    <w:pPr>
      <w:numPr>
        <w:ilvl w:val="0"/>
        <w:numId w:val="19"/>
      </w:numPr>
      <w:ind w:left="0" w:firstLine="420"/>
    </w:pPr>
    <w:rPr>
      <w:rFonts w:ascii="Times New Roman" w:hAnsi="Times New Roman" w:cs="Times New Roman"/>
      <w:b/>
      <w:kern w:val="2"/>
      <w:sz w:val="24"/>
    </w:rPr>
  </w:style>
  <w:style w:type="character" w:customStyle="1" w:styleId="260">
    <w:name w:val="书籍标题1"/>
    <w:qFormat/>
    <w:uiPriority w:val="33"/>
    <w:rPr>
      <w:b/>
      <w:bCs/>
      <w:smallCaps/>
      <w:spacing w:val="5"/>
    </w:rPr>
  </w:style>
  <w:style w:type="character" w:customStyle="1" w:styleId="261">
    <w:name w:val="段落强调 Char"/>
    <w:link w:val="259"/>
    <w:qFormat/>
    <w:uiPriority w:val="0"/>
    <w:rPr>
      <w:b/>
      <w:kern w:val="2"/>
      <w:sz w:val="24"/>
      <w:szCs w:val="24"/>
      <w:shd w:val="clear" w:color="auto" w:fill="FFFFFF"/>
    </w:rPr>
  </w:style>
  <w:style w:type="paragraph" w:customStyle="1" w:styleId="262">
    <w:name w:val="段内主题"/>
    <w:basedOn w:val="1"/>
    <w:link w:val="264"/>
    <w:qFormat/>
    <w:uiPriority w:val="0"/>
    <w:pPr>
      <w:numPr>
        <w:ilvl w:val="1"/>
        <w:numId w:val="20"/>
      </w:numPr>
      <w:ind w:firstLine="0"/>
    </w:pPr>
    <w:rPr>
      <w:rFonts w:cs="Times New Roman"/>
      <w:b/>
      <w:kern w:val="2"/>
      <w:sz w:val="24"/>
    </w:rPr>
  </w:style>
  <w:style w:type="paragraph" w:customStyle="1" w:styleId="263">
    <w:name w:val="图片注释新"/>
    <w:basedOn w:val="240"/>
    <w:link w:val="265"/>
    <w:qFormat/>
    <w:uiPriority w:val="0"/>
    <w:pPr>
      <w:spacing w:after="81"/>
      <w:ind w:firstLine="0" w:firstLineChars="0"/>
    </w:pPr>
  </w:style>
  <w:style w:type="character" w:customStyle="1" w:styleId="264">
    <w:name w:val="段内主题 Char"/>
    <w:link w:val="262"/>
    <w:qFormat/>
    <w:uiPriority w:val="0"/>
    <w:rPr>
      <w:rFonts w:ascii="宋体" w:hAnsi="宋体"/>
      <w:b/>
      <w:kern w:val="2"/>
      <w:sz w:val="24"/>
      <w:szCs w:val="24"/>
      <w:shd w:val="clear" w:color="auto" w:fill="FFFFFF"/>
    </w:rPr>
  </w:style>
  <w:style w:type="character" w:customStyle="1" w:styleId="265">
    <w:name w:val="图片注释新 Char"/>
    <w:link w:val="263"/>
    <w:qFormat/>
    <w:uiPriority w:val="0"/>
    <w:rPr>
      <w:rFonts w:ascii="宋体" w:hAnsi="宋体"/>
      <w:kern w:val="2"/>
      <w:sz w:val="24"/>
      <w:szCs w:val="24"/>
      <w:u w:val="single"/>
    </w:rPr>
  </w:style>
  <w:style w:type="paragraph" w:customStyle="1" w:styleId="266">
    <w:name w:val="正文（缩进）"/>
    <w:basedOn w:val="1"/>
    <w:link w:val="267"/>
    <w:qFormat/>
    <w:uiPriority w:val="0"/>
    <w:pPr>
      <w:spacing w:beforeLines="50" w:afterLines="50"/>
      <w:ind w:firstLine="480" w:firstLineChars="200"/>
    </w:pPr>
    <w:rPr>
      <w:rFonts w:ascii="Times New Roman" w:hAnsi="Times New Roman" w:cs="Times New Roman"/>
      <w:sz w:val="24"/>
    </w:rPr>
  </w:style>
  <w:style w:type="character" w:customStyle="1" w:styleId="267">
    <w:name w:val="正文（缩进） Char"/>
    <w:link w:val="266"/>
    <w:qFormat/>
    <w:uiPriority w:val="0"/>
    <w:rPr>
      <w:sz w:val="24"/>
      <w:szCs w:val="24"/>
    </w:rPr>
  </w:style>
  <w:style w:type="character" w:customStyle="1" w:styleId="268">
    <w:name w:val="Char Char4"/>
    <w:qFormat/>
    <w:uiPriority w:val="0"/>
    <w:rPr>
      <w:rFonts w:eastAsia="宋体"/>
      <w:b/>
      <w:kern w:val="2"/>
      <w:sz w:val="24"/>
      <w:lang w:val="en-US" w:eastAsia="zh-CN" w:bidi="ar-SA"/>
    </w:rPr>
  </w:style>
  <w:style w:type="character" w:customStyle="1" w:styleId="269">
    <w:name w:val="正文文本缩进 3 Char"/>
    <w:link w:val="35"/>
    <w:qFormat/>
    <w:uiPriority w:val="0"/>
    <w:rPr>
      <w:rFonts w:ascii="宋体"/>
      <w:b/>
      <w:bCs/>
      <w:kern w:val="2"/>
      <w:sz w:val="24"/>
      <w:szCs w:val="24"/>
    </w:rPr>
  </w:style>
  <w:style w:type="paragraph" w:customStyle="1" w:styleId="270">
    <w:name w:val="Char5 Char Char Char Char Char Char"/>
    <w:basedOn w:val="1"/>
    <w:qFormat/>
    <w:uiPriority w:val="0"/>
    <w:pPr>
      <w:spacing w:after="160" w:line="240" w:lineRule="exact"/>
      <w:jc w:val="left"/>
    </w:pPr>
    <w:rPr>
      <w:rFonts w:ascii="Verdana" w:hAnsi="Verdana" w:eastAsia="仿宋_GB2312"/>
      <w:sz w:val="24"/>
      <w:szCs w:val="20"/>
      <w:lang w:eastAsia="en-US"/>
    </w:rPr>
  </w:style>
  <w:style w:type="paragraph" w:customStyle="1" w:styleId="271">
    <w:name w:val="pa-2"/>
    <w:basedOn w:val="1"/>
    <w:qFormat/>
    <w:uiPriority w:val="0"/>
    <w:pPr>
      <w:spacing w:before="100" w:beforeAutospacing="1" w:after="100" w:afterAutospacing="1"/>
      <w:jc w:val="left"/>
    </w:pPr>
    <w:rPr>
      <w:sz w:val="24"/>
    </w:rPr>
  </w:style>
  <w:style w:type="character" w:customStyle="1" w:styleId="272">
    <w:name w:val="HTML 预设格式 Char"/>
    <w:link w:val="39"/>
    <w:qFormat/>
    <w:uiPriority w:val="0"/>
    <w:rPr>
      <w:rFonts w:ascii="Arial Unicode MS" w:hAnsi="Arial Unicode MS" w:eastAsia="Arial Unicode MS"/>
      <w:color w:val="000000"/>
    </w:rPr>
  </w:style>
  <w:style w:type="character" w:customStyle="1" w:styleId="273">
    <w:name w:val="正文文本 2 Char"/>
    <w:link w:val="38"/>
    <w:qFormat/>
    <w:uiPriority w:val="0"/>
    <w:rPr>
      <w:kern w:val="2"/>
      <w:sz w:val="24"/>
      <w:szCs w:val="24"/>
    </w:rPr>
  </w:style>
  <w:style w:type="character" w:customStyle="1" w:styleId="274">
    <w:name w:val="正文文本 3 Char"/>
    <w:link w:val="19"/>
    <w:qFormat/>
    <w:uiPriority w:val="0"/>
    <w:rPr>
      <w:kern w:val="2"/>
      <w:sz w:val="16"/>
      <w:szCs w:val="16"/>
    </w:rPr>
  </w:style>
  <w:style w:type="paragraph" w:customStyle="1" w:styleId="275">
    <w:name w:val="方案正文段落"/>
    <w:basedOn w:val="1"/>
    <w:link w:val="276"/>
    <w:qFormat/>
    <w:uiPriority w:val="0"/>
    <w:pPr>
      <w:ind w:firstLine="420" w:firstLineChars="200"/>
    </w:pPr>
    <w:rPr>
      <w:rFonts w:ascii="Times New Roman" w:hAnsi="Times New Roman" w:cs="Times New Roman"/>
      <w:kern w:val="2"/>
      <w:szCs w:val="20"/>
    </w:rPr>
  </w:style>
  <w:style w:type="character" w:customStyle="1" w:styleId="276">
    <w:name w:val="方案正文段落 Char"/>
    <w:link w:val="275"/>
    <w:qFormat/>
    <w:uiPriority w:val="0"/>
    <w:rPr>
      <w:kern w:val="2"/>
      <w:sz w:val="21"/>
    </w:rPr>
  </w:style>
  <w:style w:type="paragraph" w:customStyle="1" w:styleId="277">
    <w:name w:val="修订1"/>
    <w:hidden/>
    <w:semiHidden/>
    <w:qFormat/>
    <w:uiPriority w:val="99"/>
    <w:pPr>
      <w:spacing w:line="360" w:lineRule="auto"/>
      <w:jc w:val="both"/>
    </w:pPr>
    <w:rPr>
      <w:rFonts w:ascii="Times New Roman" w:hAnsi="Times New Roman" w:eastAsia="宋体" w:cs="Times New Roman"/>
      <w:kern w:val="2"/>
      <w:sz w:val="21"/>
      <w:szCs w:val="24"/>
      <w:lang w:val="en-US" w:eastAsia="zh-CN" w:bidi="ar-SA"/>
    </w:rPr>
  </w:style>
  <w:style w:type="paragraph" w:customStyle="1" w:styleId="278">
    <w:name w:val="模板正文"/>
    <w:basedOn w:val="1"/>
    <w:link w:val="279"/>
    <w:qFormat/>
    <w:uiPriority w:val="0"/>
    <w:pPr>
      <w:widowControl w:val="0"/>
      <w:shd w:val="clear" w:color="auto" w:fill="auto"/>
      <w:tabs>
        <w:tab w:val="clear" w:pos="426"/>
      </w:tabs>
      <w:wordWrap w:val="0"/>
      <w:adjustRightInd/>
      <w:snapToGrid/>
      <w:spacing w:beforeLines="50"/>
      <w:ind w:firstLine="200" w:firstLineChars="200"/>
    </w:pPr>
    <w:rPr>
      <w:rFonts w:ascii="Times New Roman" w:hAnsi="Times New Roman" w:eastAsia="仿宋_GB2312" w:cs="Times New Roman"/>
      <w:sz w:val="28"/>
      <w:szCs w:val="21"/>
    </w:rPr>
  </w:style>
  <w:style w:type="character" w:customStyle="1" w:styleId="279">
    <w:name w:val="模板正文 Char"/>
    <w:link w:val="278"/>
    <w:qFormat/>
    <w:locked/>
    <w:uiPriority w:val="0"/>
    <w:rPr>
      <w:rFonts w:eastAsia="仿宋_GB2312"/>
      <w:sz w:val="28"/>
      <w:szCs w:val="21"/>
    </w:rPr>
  </w:style>
  <w:style w:type="paragraph" w:styleId="280">
    <w:name w:val="List Paragraph"/>
    <w:basedOn w:val="1"/>
    <w:qFormat/>
    <w:uiPriority w:val="34"/>
    <w:pPr>
      <w:widowControl w:val="0"/>
      <w:shd w:val="clear" w:color="auto" w:fill="auto"/>
      <w:tabs>
        <w:tab w:val="clear" w:pos="426"/>
      </w:tabs>
      <w:adjustRightInd/>
      <w:snapToGrid/>
      <w:ind w:firstLine="420" w:firstLineChars="200"/>
    </w:pPr>
    <w:rPr>
      <w:rFonts w:ascii="Times New Roman" w:hAnsi="Times New Roman" w:cs="Times New Roman"/>
      <w:kern w:val="2"/>
      <w:sz w:val="24"/>
    </w:rPr>
  </w:style>
  <w:style w:type="paragraph" w:customStyle="1" w:styleId="281">
    <w:name w:val="普通段落"/>
    <w:qFormat/>
    <w:uiPriority w:val="0"/>
    <w:pPr>
      <w:widowControl w:val="0"/>
      <w:adjustRightInd w:val="0"/>
      <w:spacing w:line="360" w:lineRule="auto"/>
      <w:ind w:firstLine="425"/>
      <w:jc w:val="both"/>
      <w:textAlignment w:val="baseline"/>
    </w:pPr>
    <w:rPr>
      <w:rFonts w:ascii="Times New Roman" w:hAnsi="Times New Roman" w:eastAsia="宋体" w:cs="Times New Roman"/>
      <w:sz w:val="24"/>
      <w:lang w:val="en-US" w:eastAsia="zh-CN" w:bidi="ar-SA"/>
    </w:rPr>
  </w:style>
  <w:style w:type="paragraph" w:customStyle="1" w:styleId="282">
    <w:name w:val="表格正文"/>
    <w:basedOn w:val="1"/>
    <w:qFormat/>
    <w:uiPriority w:val="0"/>
    <w:pPr>
      <w:widowControl w:val="0"/>
      <w:shd w:val="clear" w:color="auto" w:fill="auto"/>
      <w:tabs>
        <w:tab w:val="clear" w:pos="426"/>
      </w:tabs>
      <w:adjustRightInd/>
      <w:snapToGrid/>
      <w:ind w:firstLine="200" w:firstLineChars="200"/>
    </w:pPr>
    <w:rPr>
      <w:rFonts w:ascii="Arial" w:hAnsi="Arial" w:eastAsia="仿宋_GB2312" w:cs="Times New Roman"/>
      <w:kern w:val="2"/>
      <w:sz w:val="24"/>
      <w:szCs w:val="22"/>
    </w:rPr>
  </w:style>
  <w:style w:type="paragraph" w:customStyle="1" w:styleId="283">
    <w:name w:val="USE 1"/>
    <w:basedOn w:val="1"/>
    <w:qFormat/>
    <w:uiPriority w:val="99"/>
    <w:pPr>
      <w:widowControl w:val="0"/>
      <w:shd w:val="clear" w:color="auto" w:fill="auto"/>
      <w:tabs>
        <w:tab w:val="clear" w:pos="426"/>
      </w:tabs>
      <w:adjustRightInd/>
      <w:snapToGrid/>
      <w:spacing w:line="200" w:lineRule="atLeast"/>
    </w:pPr>
    <w:rPr>
      <w:rFonts w:cs="Times New Roman"/>
      <w:b/>
      <w:kern w:val="2"/>
      <w:sz w:val="24"/>
      <w:szCs w:val="28"/>
    </w:rPr>
  </w:style>
  <w:style w:type="character" w:customStyle="1" w:styleId="284">
    <w:name w:val="副标题 Char"/>
    <w:qFormat/>
    <w:uiPriority w:val="0"/>
    <w:rPr>
      <w:rFonts w:ascii="Cambria" w:hAnsi="Cambria"/>
      <w:b/>
      <w:bCs/>
      <w:kern w:val="28"/>
      <w:sz w:val="28"/>
      <w:szCs w:val="32"/>
      <w:shd w:val="clear" w:color="auto" w:fill="FFFFFF"/>
    </w:rPr>
  </w:style>
  <w:style w:type="character" w:customStyle="1" w:styleId="285">
    <w:name w:val="正文格式 Char"/>
    <w:link w:val="286"/>
    <w:qFormat/>
    <w:uiPriority w:val="0"/>
    <w:rPr>
      <w:szCs w:val="24"/>
    </w:rPr>
  </w:style>
  <w:style w:type="paragraph" w:customStyle="1" w:styleId="286">
    <w:name w:val="正文格式"/>
    <w:basedOn w:val="1"/>
    <w:link w:val="285"/>
    <w:qFormat/>
    <w:uiPriority w:val="0"/>
    <w:pPr>
      <w:widowControl w:val="0"/>
      <w:shd w:val="clear" w:color="auto" w:fill="auto"/>
      <w:tabs>
        <w:tab w:val="clear" w:pos="426"/>
      </w:tabs>
      <w:adjustRightInd/>
      <w:snapToGrid/>
      <w:spacing w:line="240" w:lineRule="auto"/>
      <w:ind w:firstLine="420" w:firstLineChars="200"/>
    </w:pPr>
    <w:rPr>
      <w:rFonts w:ascii="Times New Roman" w:hAnsi="Times New Roman" w:cs="Times New Roman"/>
      <w:sz w:val="20"/>
    </w:rPr>
  </w:style>
  <w:style w:type="character" w:customStyle="1" w:styleId="287">
    <w:name w:val="标题 2 Char"/>
    <w:basedOn w:val="47"/>
    <w:link w:val="5"/>
    <w:qFormat/>
    <w:uiPriority w:val="9"/>
    <w:rPr>
      <w:rFonts w:ascii="宋体" w:hAnsi="宋体"/>
      <w:b/>
      <w:sz w:val="24"/>
      <w:shd w:val="clear" w:color="auto" w:fill="FFFFFF"/>
    </w:rPr>
  </w:style>
  <w:style w:type="table" w:customStyle="1" w:styleId="288">
    <w:name w:val="网格型1"/>
    <w:basedOn w:val="44"/>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89">
    <w:name w:val="列出段落11"/>
    <w:basedOn w:val="1"/>
    <w:qFormat/>
    <w:uiPriority w:val="99"/>
    <w:pPr>
      <w:ind w:firstLine="420" w:firstLineChars="200"/>
    </w:pPr>
    <w:rPr>
      <w:rFonts w:eastAsiaTheme="minorEastAsia"/>
    </w:rPr>
  </w:style>
  <w:style w:type="character" w:customStyle="1" w:styleId="290">
    <w:name w:val="font51"/>
    <w:basedOn w:val="47"/>
    <w:qFormat/>
    <w:uiPriority w:val="0"/>
    <w:rPr>
      <w:rFonts w:hint="eastAsia" w:ascii="宋体" w:hAnsi="宋体" w:eastAsia="宋体" w:cs="宋体"/>
      <w:color w:val="000000"/>
      <w:sz w:val="16"/>
      <w:szCs w:val="16"/>
      <w:u w:val="none"/>
    </w:rPr>
  </w:style>
  <w:style w:type="character" w:customStyle="1" w:styleId="291">
    <w:name w:val="font61"/>
    <w:basedOn w:val="47"/>
    <w:qFormat/>
    <w:uiPriority w:val="0"/>
    <w:rPr>
      <w:rFonts w:hint="eastAsia" w:ascii="宋体" w:hAnsi="宋体" w:eastAsia="宋体" w:cs="宋体"/>
      <w:color w:val="FF0000"/>
      <w:sz w:val="16"/>
      <w:szCs w:val="16"/>
      <w:u w:val="none"/>
    </w:rPr>
  </w:style>
  <w:style w:type="character" w:customStyle="1" w:styleId="292">
    <w:name w:val="font01"/>
    <w:basedOn w:val="47"/>
    <w:qFormat/>
    <w:uiPriority w:val="0"/>
    <w:rPr>
      <w:rFonts w:hint="eastAsia" w:ascii="宋体" w:hAnsi="宋体" w:eastAsia="宋体" w:cs="宋体"/>
      <w:color w:val="FF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E2515B-E6F9-42B1-9B00-BFF411C0278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94</Pages>
  <Words>10268</Words>
  <Characters>58529</Characters>
  <Lines>487</Lines>
  <Paragraphs>137</Paragraphs>
  <TotalTime>10</TotalTime>
  <ScaleCrop>false</ScaleCrop>
  <LinksUpToDate>false</LinksUpToDate>
  <CharactersWithSpaces>68660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2019-02-13T10:06:00Z</dcterms:created>
  <dc:creator>jwe</dc:creator>
  <cp:lastModifiedBy>游娃</cp:lastModifiedBy>
  <cp:lastPrinted>2017-02-22T09:17:00Z</cp:lastPrinted>
  <dcterms:modified xsi:type="dcterms:W3CDTF">2019-06-24T09:06:34Z</dcterms:modified>
  <cp:revision>1229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